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bookmarkStart w:id="0" w:name="_Hlt450066087"/>
      <w:bookmarkEnd w:id="0"/>
      <w:bookmarkStart w:id="1" w:name="_Hlt450051172"/>
      <w:bookmarkEnd w:id="1"/>
      <w:bookmarkStart w:id="2" w:name="_Hlt449016246"/>
      <w:bookmarkEnd w:id="2"/>
      <w:bookmarkStart w:id="3" w:name="_Hlt448930105"/>
      <w:bookmarkEnd w:id="3"/>
      <w:bookmarkStart w:id="4" w:name="_Hlt450066085"/>
      <w:bookmarkEnd w:id="4"/>
      <w:bookmarkStart w:id="5" w:name="_Hlt450039480"/>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cs="Arial"/>
          <w:b/>
          <w:sz w:val="24"/>
          <w:szCs w:val="24"/>
          <w:lang w:val="en-US" w:eastAsia="zh-CN"/>
        </w:rPr>
        <w:t>91</w:t>
      </w:r>
      <w:r>
        <w:rPr>
          <w:rFonts w:ascii="Arial" w:hAnsi="Arial" w:eastAsia="MS Mincho" w:cs="Arial"/>
          <w:b/>
          <w:sz w:val="24"/>
          <w:szCs w:val="24"/>
          <w:lang w:val="en-US"/>
        </w:rPr>
        <w:tab/>
      </w:r>
      <w:r>
        <w:rPr>
          <w:rFonts w:hint="eastAsia" w:ascii="Arial" w:hAnsi="Arial" w:eastAsia="MS Mincho" w:cs="Arial"/>
          <w:b/>
          <w:sz w:val="24"/>
          <w:szCs w:val="24"/>
          <w:lang w:val="en-US"/>
        </w:rPr>
        <w:t>R4-1</w:t>
      </w:r>
      <w:r>
        <w:rPr>
          <w:rFonts w:hint="eastAsia" w:ascii="Arial" w:hAnsi="Arial" w:cs="Arial"/>
          <w:b/>
          <w:sz w:val="24"/>
          <w:szCs w:val="24"/>
          <w:lang w:val="en-US" w:eastAsia="zh-CN"/>
        </w:rPr>
        <w:t>908349</w:t>
      </w:r>
    </w:p>
    <w:p>
      <w:pPr>
        <w:tabs>
          <w:tab w:val="right" w:pos="10440"/>
          <w:tab w:val="right" w:pos="13323"/>
        </w:tabs>
        <w:spacing w:afterLines="100"/>
        <w:rPr>
          <w:rFonts w:hint="default" w:ascii="Arial" w:hAnsi="Arial" w:eastAsia="MS Mincho" w:cs="Arial"/>
          <w:b/>
          <w:sz w:val="24"/>
          <w:szCs w:val="24"/>
          <w:lang w:val="en-US" w:eastAsia="ja-JP"/>
        </w:rPr>
      </w:pPr>
      <w:r>
        <w:rPr>
          <w:rFonts w:hint="eastAsia" w:ascii="Arial" w:hAnsi="Arial"/>
          <w:b/>
          <w:sz w:val="24"/>
          <w:szCs w:val="24"/>
          <w:lang w:val="en-US" w:eastAsia="zh-CN"/>
        </w:rPr>
        <w:t>Re</w:t>
      </w:r>
      <w:r>
        <w:rPr>
          <w:rFonts w:hint="eastAsia" w:ascii="Arial" w:hAnsi="Arial" w:eastAsia="宋体"/>
          <w:b/>
          <w:sz w:val="24"/>
          <w:szCs w:val="24"/>
          <w:lang w:eastAsia="zh-CN"/>
        </w:rPr>
        <w:t xml:space="preserve">, </w:t>
      </w:r>
      <w:r>
        <w:rPr>
          <w:rFonts w:hint="eastAsia" w:ascii="Arial" w:hAnsi="Arial"/>
          <w:b/>
          <w:sz w:val="24"/>
          <w:szCs w:val="24"/>
          <w:lang w:val="en-US" w:eastAsia="zh-CN"/>
        </w:rPr>
        <w:t>USA</w:t>
      </w:r>
      <w:r>
        <w:rPr>
          <w:rFonts w:ascii="Arial" w:hAnsi="Arial" w:eastAsia="宋体"/>
          <w:b/>
          <w:sz w:val="24"/>
          <w:szCs w:val="24"/>
          <w:lang w:eastAsia="zh-CN"/>
        </w:rPr>
        <w:t xml:space="preserve">, </w:t>
      </w:r>
      <w:r>
        <w:rPr>
          <w:rFonts w:hint="eastAsia" w:ascii="Arial" w:hAnsi="Arial"/>
          <w:b/>
          <w:sz w:val="24"/>
          <w:szCs w:val="24"/>
          <w:lang w:val="en-US" w:eastAsia="zh-CN"/>
        </w:rPr>
        <w:t>13</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 xml:space="preserve">Apr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b/>
          <w:sz w:val="24"/>
          <w:szCs w:val="24"/>
          <w:lang w:val="en-US" w:eastAsia="zh-CN"/>
        </w:rPr>
        <w:t>17</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May</w:t>
      </w:r>
      <w:r>
        <w:rPr>
          <w:rFonts w:ascii="Arial" w:hAnsi="Arial" w:eastAsia="宋体"/>
          <w:b/>
          <w:sz w:val="24"/>
          <w:szCs w:val="24"/>
          <w:lang w:eastAsia="zh-CN"/>
        </w:rPr>
        <w:t>, 201</w:t>
      </w:r>
      <w:r>
        <w:rPr>
          <w:rFonts w:hint="eastAsia" w:ascii="Arial" w:hAnsi="Arial"/>
          <w:b/>
          <w:sz w:val="24"/>
          <w:szCs w:val="24"/>
          <w:lang w:val="en-US" w:eastAsia="zh-CN"/>
        </w:rPr>
        <w:t>9</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on IAB EMC requirement and further plan</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9.5.5</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eastAsia"/>
          <w:lang w:val="en-US" w:eastAsia="zh-CN"/>
        </w:rPr>
      </w:pPr>
      <w:r>
        <w:rPr>
          <w:rFonts w:hint="eastAsia"/>
          <w:lang w:val="en-US" w:eastAsia="zh-CN"/>
        </w:rPr>
        <w:t>During the last RAN4 meeting, there is an agreement captured in the chairman note as:</w:t>
      </w:r>
    </w:p>
    <w:p>
      <w:pPr>
        <w:rPr>
          <w:rFonts w:hint="eastAsia"/>
          <w:highlight w:val="green"/>
        </w:rPr>
      </w:pPr>
      <w:r>
        <w:t xml:space="preserve"> </w:t>
      </w:r>
      <w:r>
        <w:rPr>
          <w:highlight w:val="green"/>
        </w:rPr>
        <w:t xml:space="preserve">Agreement: </w:t>
      </w:r>
      <w:r>
        <w:rPr>
          <w:rFonts w:hint="eastAsia"/>
          <w:highlight w:val="green"/>
        </w:rPr>
        <w:t>Add EMC requirements of an IAB-node into the IAB work item</w:t>
      </w:r>
    </w:p>
    <w:p>
      <w:pPr>
        <w:bidi w:val="0"/>
        <w:rPr>
          <w:rFonts w:hint="eastAsia"/>
          <w:lang w:val="en-US" w:eastAsia="zh-CN"/>
        </w:rPr>
      </w:pPr>
      <w:r>
        <w:rPr>
          <w:rFonts w:hint="eastAsia"/>
          <w:lang w:val="en-US" w:eastAsia="zh-CN"/>
        </w:rPr>
        <w:t>Also this has been captured in the last RAN meeting with the IAB WID update as:</w:t>
      </w:r>
    </w:p>
    <w:p>
      <w:pPr>
        <w:pStyle w:val="131"/>
        <w:numPr>
          <w:ilvl w:val="1"/>
          <w:numId w:val="7"/>
        </w:numPr>
        <w:overflowPunct/>
        <w:autoSpaceDE/>
        <w:autoSpaceDN/>
        <w:adjustRightInd/>
        <w:spacing w:before="60" w:after="60"/>
        <w:textAlignment w:val="auto"/>
      </w:pPr>
      <w:r>
        <w:t>Specify EMC-related requirements for IAB-nodes.</w:t>
      </w:r>
    </w:p>
    <w:p>
      <w:pPr>
        <w:bidi w:val="0"/>
        <w:rPr>
          <w:rFonts w:hint="default"/>
          <w:lang w:val="en-US" w:eastAsia="zh-CN"/>
        </w:rPr>
      </w:pPr>
      <w:r>
        <w:rPr>
          <w:rFonts w:hint="eastAsia"/>
          <w:lang w:val="en-US" w:eastAsia="zh-CN"/>
        </w:rPr>
        <w:t xml:space="preserve">However, how to capture the EMC requirement of an IAB-node is still under discussion. Mostly this will depend on the work load of the requirement itself. Hence in this contribution, we provide some initial discussion and a wayforward to finish the objective of the IAB WID. </w:t>
      </w:r>
    </w:p>
    <w:p>
      <w:pPr>
        <w:pStyle w:val="2"/>
        <w:rPr>
          <w:rFonts w:hint="default"/>
          <w:lang w:val="en-US" w:eastAsia="zh-CN"/>
        </w:rPr>
      </w:pPr>
      <w:r>
        <w:rPr>
          <w:lang w:eastAsia="zh-CN"/>
        </w:rPr>
        <w:t>Discussion</w:t>
      </w:r>
    </w:p>
    <w:p>
      <w:pPr>
        <w:pStyle w:val="3"/>
        <w:bidi w:val="0"/>
        <w:rPr>
          <w:rFonts w:hint="default"/>
          <w:lang w:val="en-US" w:eastAsia="zh-CN"/>
        </w:rPr>
      </w:pPr>
      <w:r>
        <w:rPr>
          <w:rFonts w:hint="eastAsia"/>
          <w:lang w:val="en-US" w:eastAsia="zh-CN"/>
        </w:rPr>
        <w:t>Applicability of EMC requirements</w:t>
      </w:r>
    </w:p>
    <w:p>
      <w:pPr>
        <w:bidi w:val="0"/>
        <w:jc w:val="left"/>
        <w:rPr>
          <w:rFonts w:hint="default"/>
          <w:lang w:val="en-US" w:eastAsia="zh-CN"/>
        </w:rPr>
      </w:pPr>
      <w:r>
        <w:rPr>
          <w:rFonts w:hint="eastAsia"/>
          <w:lang w:val="en-US" w:eastAsia="zh-CN"/>
        </w:rPr>
        <w:t xml:space="preserve">The IAB node is divided into two logical parts as DU and MT with respect to their functionality. The IAB architecture is also fully discussed in [1]. The RF requirement will be different for DU and MT. To reflect this difference, RF requirement for DU and MT can be defined separately based on current base station and UE RF spec. This is true because the RF requirement are per antenna connector/TAB connector/RIB. However, when it comes to EMC requirement, different ports other than antenna port as well as the whole enclosure is the anchor point of specific EMC requirements. In this case, many EMC requirement needs to be revisited as some of the requirement can not be distinguished. Table 1 and 2 below show the emission and immunity requirement applicability captured from latest version of TS 38.113. Each requirement with different application part of the base station needs to be analyzed separately. </w:t>
      </w:r>
    </w:p>
    <w:p>
      <w:pPr>
        <w:bidi w:val="0"/>
        <w:jc w:val="center"/>
        <w:rPr>
          <w:rFonts w:hint="eastAsia"/>
          <w:lang w:val="en-US" w:eastAsia="zh-CN"/>
        </w:rPr>
      </w:pPr>
      <w:r>
        <w:rPr>
          <w:rFonts w:hint="eastAsia"/>
          <w:lang w:val="en-US" w:eastAsia="zh-CN"/>
        </w:rPr>
        <w:t>Table 1 Emission requirement applicability</w:t>
      </w:r>
    </w:p>
    <w:tbl>
      <w:tblPr>
        <w:tblStyle w:val="52"/>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
      <w:tblGrid>
        <w:gridCol w:w="1669"/>
        <w:gridCol w:w="1726"/>
        <w:gridCol w:w="1118"/>
        <w:gridCol w:w="1044"/>
        <w:gridCol w:w="1131"/>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Merge w:val="restart"/>
            <w:vAlign w:val="center"/>
          </w:tcPr>
          <w:p>
            <w:pPr>
              <w:pStyle w:val="62"/>
              <w:rPr>
                <w:lang w:eastAsia="en-GB"/>
              </w:rPr>
            </w:pPr>
            <w:r>
              <w:rPr>
                <w:lang w:eastAsia="en-GB"/>
              </w:rPr>
              <w:t>Phenomenon</w:t>
            </w:r>
          </w:p>
        </w:tc>
        <w:tc>
          <w:tcPr>
            <w:tcW w:w="1726" w:type="dxa"/>
            <w:vMerge w:val="restart"/>
            <w:vAlign w:val="center"/>
          </w:tcPr>
          <w:p>
            <w:pPr>
              <w:pStyle w:val="62"/>
              <w:rPr>
                <w:highlight w:val="none"/>
                <w:lang w:eastAsia="en-GB"/>
              </w:rPr>
            </w:pPr>
            <w:r>
              <w:rPr>
                <w:highlight w:val="none"/>
                <w:lang w:eastAsia="en-GB"/>
              </w:rPr>
              <w:t>Application</w:t>
            </w:r>
          </w:p>
        </w:tc>
        <w:tc>
          <w:tcPr>
            <w:tcW w:w="2162" w:type="dxa"/>
            <w:gridSpan w:val="2"/>
            <w:vAlign w:val="center"/>
          </w:tcPr>
          <w:p>
            <w:pPr>
              <w:pStyle w:val="62"/>
              <w:rPr>
                <w:lang w:eastAsia="en-GB"/>
              </w:rPr>
            </w:pPr>
            <w:r>
              <w:rPr>
                <w:lang w:eastAsia="en-GB"/>
              </w:rPr>
              <w:t>Equipment test requirement</w:t>
            </w:r>
          </w:p>
        </w:tc>
        <w:tc>
          <w:tcPr>
            <w:tcW w:w="1131" w:type="dxa"/>
            <w:vMerge w:val="restart"/>
            <w:vAlign w:val="center"/>
          </w:tcPr>
          <w:p>
            <w:pPr>
              <w:pStyle w:val="62"/>
              <w:rPr>
                <w:lang w:eastAsia="en-GB"/>
              </w:rPr>
            </w:pPr>
            <w:r>
              <w:rPr>
                <w:lang w:eastAsia="en-GB"/>
              </w:rPr>
              <w:t>Reference</w:t>
            </w:r>
          </w:p>
          <w:p>
            <w:pPr>
              <w:pStyle w:val="62"/>
              <w:rPr>
                <w:lang w:eastAsia="en-GB"/>
              </w:rPr>
            </w:pPr>
            <w:r>
              <w:rPr>
                <w:lang w:eastAsia="en-GB"/>
              </w:rPr>
              <w:t>subclause in the present document</w:t>
            </w:r>
          </w:p>
        </w:tc>
        <w:tc>
          <w:tcPr>
            <w:tcW w:w="3169" w:type="dxa"/>
            <w:vMerge w:val="restart"/>
            <w:vAlign w:val="center"/>
          </w:tcPr>
          <w:p>
            <w:pPr>
              <w:pStyle w:val="62"/>
              <w:rPr>
                <w:lang w:eastAsia="en-GB"/>
              </w:rPr>
            </w:pPr>
            <w:r>
              <w:rPr>
                <w:lang w:eastAsia="en-GB"/>
              </w:rPr>
              <w:t>Reference</w:t>
            </w:r>
          </w:p>
          <w:p>
            <w:pPr>
              <w:pStyle w:val="62"/>
              <w:rPr>
                <w:lang w:eastAsia="en-GB"/>
              </w:rPr>
            </w:pPr>
            <w:r>
              <w:rPr>
                <w:lang w:eastAsia="en-GB"/>
              </w:rP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Merge w:val="continue"/>
            <w:vAlign w:val="center"/>
          </w:tcPr>
          <w:p>
            <w:pPr>
              <w:pStyle w:val="62"/>
              <w:rPr>
                <w:lang w:eastAsia="en-GB"/>
              </w:rPr>
            </w:pPr>
          </w:p>
        </w:tc>
        <w:tc>
          <w:tcPr>
            <w:tcW w:w="1726" w:type="dxa"/>
            <w:vMerge w:val="continue"/>
            <w:vAlign w:val="center"/>
          </w:tcPr>
          <w:p>
            <w:pPr>
              <w:pStyle w:val="62"/>
              <w:rPr>
                <w:highlight w:val="none"/>
                <w:lang w:eastAsia="en-GB"/>
              </w:rPr>
            </w:pPr>
          </w:p>
        </w:tc>
        <w:tc>
          <w:tcPr>
            <w:tcW w:w="1118" w:type="dxa"/>
            <w:vAlign w:val="center"/>
          </w:tcPr>
          <w:p>
            <w:pPr>
              <w:pStyle w:val="62"/>
              <w:rPr>
                <w:lang w:eastAsia="en-GB"/>
              </w:rPr>
            </w:pPr>
            <w:r>
              <w:rPr>
                <w:lang w:eastAsia="en-GB"/>
              </w:rPr>
              <w:t>BS equipment</w:t>
            </w:r>
          </w:p>
        </w:tc>
        <w:tc>
          <w:tcPr>
            <w:tcW w:w="1044" w:type="dxa"/>
            <w:vAlign w:val="center"/>
          </w:tcPr>
          <w:p>
            <w:pPr>
              <w:pStyle w:val="62"/>
              <w:rPr>
                <w:lang w:eastAsia="en-GB"/>
              </w:rPr>
            </w:pPr>
            <w:r>
              <w:rPr>
                <w:lang w:eastAsia="en-GB"/>
              </w:rPr>
              <w:t>Ancillary equipment</w:t>
            </w:r>
          </w:p>
        </w:tc>
        <w:tc>
          <w:tcPr>
            <w:tcW w:w="1131" w:type="dxa"/>
            <w:vMerge w:val="continue"/>
            <w:vAlign w:val="center"/>
          </w:tcPr>
          <w:p>
            <w:pPr>
              <w:pStyle w:val="62"/>
              <w:rPr>
                <w:lang w:eastAsia="en-GB"/>
              </w:rPr>
            </w:pPr>
          </w:p>
        </w:tc>
        <w:tc>
          <w:tcPr>
            <w:tcW w:w="3169" w:type="dxa"/>
            <w:vMerge w:val="continue"/>
            <w:vAlign w:val="center"/>
          </w:tcPr>
          <w:p>
            <w:pPr>
              <w:pStyle w:val="62"/>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trHeight w:val="1035" w:hRule="atLeast"/>
          <w:jc w:val="center"/>
        </w:trPr>
        <w:tc>
          <w:tcPr>
            <w:tcW w:w="1669" w:type="dxa"/>
            <w:vAlign w:val="top"/>
          </w:tcPr>
          <w:p>
            <w:pPr>
              <w:pStyle w:val="63"/>
              <w:rPr>
                <w:lang w:val="en-US" w:eastAsia="zh-CN"/>
              </w:rPr>
            </w:pPr>
            <w:r>
              <w:rPr>
                <w:rFonts w:hint="eastAsia"/>
                <w:lang w:val="en-US" w:eastAsia="zh-CN"/>
              </w:rPr>
              <w:t>Radiated emission</w:t>
            </w:r>
          </w:p>
        </w:tc>
        <w:tc>
          <w:tcPr>
            <w:tcW w:w="1726" w:type="dxa"/>
            <w:vAlign w:val="top"/>
          </w:tcPr>
          <w:p>
            <w:pPr>
              <w:pStyle w:val="63"/>
              <w:rPr>
                <w:highlight w:val="none"/>
                <w:lang w:val="en-US" w:eastAsia="zh-CN"/>
              </w:rPr>
            </w:pPr>
            <w:r>
              <w:rPr>
                <w:rFonts w:hint="eastAsia"/>
                <w:highlight w:val="none"/>
                <w:lang w:val="en-US" w:eastAsia="zh-CN"/>
              </w:rPr>
              <w:t>Enclosure</w:t>
            </w:r>
          </w:p>
        </w:tc>
        <w:tc>
          <w:tcPr>
            <w:tcW w:w="1118" w:type="dxa"/>
            <w:vAlign w:val="top"/>
          </w:tcPr>
          <w:p>
            <w:pPr>
              <w:pStyle w:val="63"/>
              <w:rPr>
                <w:lang w:val="en-US" w:eastAsia="zh-CN"/>
              </w:rPr>
            </w:pPr>
            <w:r>
              <w:rPr>
                <w:rFonts w:hint="eastAsia"/>
                <w:lang w:val="en-US" w:eastAsia="zh-CN"/>
              </w:rPr>
              <w:t xml:space="preserve">applicable for </w:t>
            </w:r>
            <w:r>
              <w:rPr>
                <w:i/>
                <w:iCs/>
                <w:lang w:val="en-US" w:eastAsia="zh-CN"/>
              </w:rPr>
              <w:t>BS type 1-C</w:t>
            </w:r>
            <w:r>
              <w:rPr>
                <w:rFonts w:hint="eastAsia"/>
                <w:lang w:val="en-US" w:eastAsia="zh-CN"/>
              </w:rPr>
              <w:t xml:space="preserve"> and </w:t>
            </w:r>
            <w:r>
              <w:rPr>
                <w:i/>
                <w:iCs/>
                <w:lang w:val="en-US" w:eastAsia="zh-CN"/>
              </w:rPr>
              <w:t>BS type 1-H</w:t>
            </w:r>
          </w:p>
          <w:p>
            <w:pPr>
              <w:pStyle w:val="63"/>
              <w:rPr>
                <w:lang w:val="en-US" w:eastAsia="zh-CN"/>
              </w:rPr>
            </w:pPr>
            <w:r>
              <w:rPr>
                <w:rFonts w:hint="eastAsia"/>
                <w:lang w:val="en-US" w:eastAsia="zh-CN"/>
              </w:rPr>
              <w:t>(Note)</w:t>
            </w:r>
          </w:p>
        </w:tc>
        <w:tc>
          <w:tcPr>
            <w:tcW w:w="1044" w:type="dxa"/>
            <w:vAlign w:val="top"/>
          </w:tcPr>
          <w:p>
            <w:pPr>
              <w:pStyle w:val="63"/>
              <w:rPr>
                <w:lang w:val="en-US" w:eastAsia="zh-CN"/>
              </w:rPr>
            </w:pPr>
            <w:r>
              <w:rPr>
                <w:rFonts w:hint="eastAsia"/>
                <w:lang w:val="en-US" w:eastAsia="zh-CN"/>
              </w:rPr>
              <w:t>not applicable</w:t>
            </w:r>
          </w:p>
        </w:tc>
        <w:tc>
          <w:tcPr>
            <w:tcW w:w="1131" w:type="dxa"/>
            <w:vAlign w:val="top"/>
          </w:tcPr>
          <w:p>
            <w:pPr>
              <w:pStyle w:val="63"/>
              <w:rPr>
                <w:lang w:val="en-US" w:eastAsia="zh-CN"/>
              </w:rPr>
            </w:pPr>
            <w:r>
              <w:rPr>
                <w:rFonts w:hint="eastAsia"/>
                <w:lang w:val="en-US" w:eastAsia="zh-CN"/>
              </w:rPr>
              <w:t>8.2.1</w:t>
            </w:r>
          </w:p>
        </w:tc>
        <w:tc>
          <w:tcPr>
            <w:tcW w:w="3169" w:type="dxa"/>
            <w:vAlign w:val="top"/>
          </w:tcPr>
          <w:p>
            <w:pPr>
              <w:pStyle w:val="63"/>
              <w:rPr>
                <w:lang w:eastAsia="en-GB"/>
              </w:rPr>
            </w:pPr>
            <w:r>
              <w:rPr>
                <w:lang w:eastAsia="en-GB"/>
              </w:rPr>
              <w:t>ITU-R SM.329 [</w:t>
            </w:r>
            <w:r>
              <w:rPr>
                <w:lang w:val="en-US" w:eastAsia="zh-CN"/>
              </w:rPr>
              <w:t>2</w:t>
            </w: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Align w:val="top"/>
          </w:tcPr>
          <w:p>
            <w:pPr>
              <w:pStyle w:val="63"/>
              <w:rPr>
                <w:lang w:eastAsia="en-GB"/>
              </w:rPr>
            </w:pPr>
            <w:r>
              <w:rPr>
                <w:lang w:eastAsia="en-GB"/>
              </w:rPr>
              <w:t>Radiated emission</w:t>
            </w:r>
          </w:p>
        </w:tc>
        <w:tc>
          <w:tcPr>
            <w:tcW w:w="1726" w:type="dxa"/>
            <w:vAlign w:val="top"/>
          </w:tcPr>
          <w:p>
            <w:pPr>
              <w:pStyle w:val="63"/>
              <w:rPr>
                <w:highlight w:val="none"/>
                <w:lang w:eastAsia="en-GB"/>
              </w:rPr>
            </w:pPr>
            <w:r>
              <w:rPr>
                <w:highlight w:val="none"/>
                <w:lang w:eastAsia="en-GB"/>
              </w:rPr>
              <w:t>Enclosure</w:t>
            </w:r>
            <w:r>
              <w:rPr>
                <w:rFonts w:hint="eastAsia"/>
                <w:highlight w:val="none"/>
                <w:lang w:val="en-US" w:eastAsia="zh-CN"/>
              </w:rPr>
              <w:t xml:space="preserve"> of </w:t>
            </w:r>
            <w:r>
              <w:rPr>
                <w:rFonts w:hint="eastAsia"/>
                <w:i/>
                <w:highlight w:val="none"/>
                <w:lang w:val="en-US" w:eastAsia="zh-CN"/>
              </w:rPr>
              <w:t>ancillary equipment</w:t>
            </w:r>
          </w:p>
        </w:tc>
        <w:tc>
          <w:tcPr>
            <w:tcW w:w="1118" w:type="dxa"/>
            <w:vAlign w:val="top"/>
          </w:tcPr>
          <w:p>
            <w:pPr>
              <w:pStyle w:val="63"/>
              <w:rPr>
                <w:lang w:val="en-US" w:eastAsia="zh-CN"/>
              </w:rPr>
            </w:pPr>
            <w:r>
              <w:rPr>
                <w:rFonts w:hint="eastAsia"/>
                <w:lang w:val="en-US" w:eastAsia="zh-CN"/>
              </w:rPr>
              <w:t>not applicable</w:t>
            </w:r>
          </w:p>
        </w:tc>
        <w:tc>
          <w:tcPr>
            <w:tcW w:w="1044" w:type="dxa"/>
            <w:vAlign w:val="top"/>
          </w:tcPr>
          <w:p>
            <w:pPr>
              <w:pStyle w:val="63"/>
              <w:rPr>
                <w:lang w:eastAsia="en-GB"/>
              </w:rPr>
            </w:pPr>
            <w:r>
              <w:rPr>
                <w:lang w:eastAsia="en-GB"/>
              </w:rPr>
              <w:t>applicable</w:t>
            </w:r>
          </w:p>
        </w:tc>
        <w:tc>
          <w:tcPr>
            <w:tcW w:w="1131" w:type="dxa"/>
            <w:vAlign w:val="top"/>
          </w:tcPr>
          <w:p>
            <w:pPr>
              <w:pStyle w:val="63"/>
              <w:rPr>
                <w:lang w:eastAsia="en-GB"/>
              </w:rPr>
            </w:pPr>
            <w:r>
              <w:rPr>
                <w:lang w:eastAsia="en-GB"/>
              </w:rPr>
              <w:t>8.2.2</w:t>
            </w:r>
          </w:p>
        </w:tc>
        <w:tc>
          <w:tcPr>
            <w:tcW w:w="3169" w:type="dxa"/>
            <w:vAlign w:val="top"/>
          </w:tcPr>
          <w:p>
            <w:pPr>
              <w:pStyle w:val="63"/>
              <w:rPr>
                <w:lang w:eastAsia="en-GB"/>
              </w:rPr>
            </w:pPr>
            <w:r>
              <w:rPr>
                <w:lang w:eastAsia="en-GB"/>
              </w:rPr>
              <w:t xml:space="preserve">CISPR </w:t>
            </w:r>
            <w:r>
              <w:rPr>
                <w:rFonts w:hint="eastAsia"/>
                <w:lang w:val="en-US" w:eastAsia="zh-CN"/>
              </w:rPr>
              <w:t>3</w:t>
            </w:r>
            <w:r>
              <w:rPr>
                <w:lang w:eastAsia="en-GB"/>
              </w:rPr>
              <w:t>2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Align w:val="top"/>
          </w:tcPr>
          <w:p>
            <w:pPr>
              <w:pStyle w:val="63"/>
              <w:rPr>
                <w:lang w:eastAsia="en-GB"/>
              </w:rPr>
            </w:pPr>
            <w:r>
              <w:rPr>
                <w:lang w:eastAsia="en-GB"/>
              </w:rPr>
              <w:t>Conducted emission</w:t>
            </w:r>
          </w:p>
        </w:tc>
        <w:tc>
          <w:tcPr>
            <w:tcW w:w="1726" w:type="dxa"/>
            <w:vAlign w:val="top"/>
          </w:tcPr>
          <w:p>
            <w:pPr>
              <w:pStyle w:val="63"/>
              <w:rPr>
                <w:highlight w:val="none"/>
                <w:lang w:eastAsia="en-GB"/>
              </w:rPr>
            </w:pPr>
            <w:r>
              <w:rPr>
                <w:highlight w:val="none"/>
                <w:lang w:eastAsia="en-GB"/>
              </w:rPr>
              <w:t xml:space="preserve">DC power input/output </w:t>
            </w:r>
            <w:r>
              <w:rPr>
                <w:iCs/>
                <w:highlight w:val="none"/>
                <w:lang w:eastAsia="en-GB"/>
              </w:rPr>
              <w:t>port</w:t>
            </w:r>
          </w:p>
        </w:tc>
        <w:tc>
          <w:tcPr>
            <w:tcW w:w="1118" w:type="dxa"/>
            <w:vAlign w:val="top"/>
          </w:tcPr>
          <w:p>
            <w:pPr>
              <w:pStyle w:val="63"/>
              <w:rPr>
                <w:lang w:eastAsia="en-GB"/>
              </w:rPr>
            </w:pPr>
            <w:r>
              <w:rPr>
                <w:lang w:eastAsia="en-GB"/>
              </w:rPr>
              <w:t>applicable</w:t>
            </w:r>
          </w:p>
        </w:tc>
        <w:tc>
          <w:tcPr>
            <w:tcW w:w="1044" w:type="dxa"/>
            <w:vAlign w:val="top"/>
          </w:tcPr>
          <w:p>
            <w:pPr>
              <w:pStyle w:val="63"/>
              <w:rPr>
                <w:lang w:eastAsia="en-GB"/>
              </w:rPr>
            </w:pPr>
            <w:r>
              <w:rPr>
                <w:lang w:eastAsia="en-GB"/>
              </w:rPr>
              <w:t>applicable</w:t>
            </w:r>
          </w:p>
        </w:tc>
        <w:tc>
          <w:tcPr>
            <w:tcW w:w="1131" w:type="dxa"/>
            <w:vAlign w:val="top"/>
          </w:tcPr>
          <w:p>
            <w:pPr>
              <w:pStyle w:val="63"/>
              <w:rPr>
                <w:lang w:eastAsia="en-GB"/>
              </w:rPr>
            </w:pPr>
            <w:r>
              <w:rPr>
                <w:lang w:eastAsia="en-GB"/>
              </w:rPr>
              <w:t>8.3</w:t>
            </w:r>
          </w:p>
        </w:tc>
        <w:tc>
          <w:tcPr>
            <w:tcW w:w="3169" w:type="dxa"/>
            <w:vAlign w:val="top"/>
          </w:tcPr>
          <w:p>
            <w:pPr>
              <w:pStyle w:val="63"/>
              <w:rPr>
                <w:lang w:eastAsia="en-GB"/>
              </w:rPr>
            </w:pPr>
            <w:r>
              <w:rPr>
                <w:lang w:eastAsia="en-GB"/>
              </w:rPr>
              <w:t>CISPR </w:t>
            </w:r>
            <w:r>
              <w:rPr>
                <w:rFonts w:hint="eastAsia"/>
                <w:lang w:val="en-US" w:eastAsia="zh-CN"/>
              </w:rPr>
              <w:t>3</w:t>
            </w:r>
            <w:r>
              <w:rPr>
                <w:lang w:eastAsia="en-GB"/>
              </w:rPr>
              <w:t>2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Align w:val="top"/>
          </w:tcPr>
          <w:p>
            <w:pPr>
              <w:pStyle w:val="63"/>
              <w:rPr>
                <w:lang w:eastAsia="en-GB"/>
              </w:rPr>
            </w:pPr>
            <w:r>
              <w:rPr>
                <w:lang w:eastAsia="en-GB"/>
              </w:rPr>
              <w:t>Conducted emission</w:t>
            </w:r>
          </w:p>
        </w:tc>
        <w:tc>
          <w:tcPr>
            <w:tcW w:w="1726" w:type="dxa"/>
            <w:vAlign w:val="top"/>
          </w:tcPr>
          <w:p>
            <w:pPr>
              <w:pStyle w:val="63"/>
              <w:rPr>
                <w:highlight w:val="none"/>
                <w:lang w:val="fr-FR" w:eastAsia="en-GB"/>
              </w:rPr>
            </w:pPr>
            <w:r>
              <w:rPr>
                <w:highlight w:val="none"/>
                <w:lang w:val="fr-FR" w:eastAsia="en-GB"/>
              </w:rPr>
              <w:t xml:space="preserve">AC mains input/output </w:t>
            </w:r>
            <w:r>
              <w:rPr>
                <w:iCs/>
                <w:highlight w:val="none"/>
                <w:lang w:val="fr-FR" w:eastAsia="en-GB"/>
              </w:rPr>
              <w:t>port</w:t>
            </w:r>
          </w:p>
        </w:tc>
        <w:tc>
          <w:tcPr>
            <w:tcW w:w="1118" w:type="dxa"/>
            <w:vAlign w:val="top"/>
          </w:tcPr>
          <w:p>
            <w:pPr>
              <w:pStyle w:val="63"/>
              <w:rPr>
                <w:lang w:eastAsia="en-GB"/>
              </w:rPr>
            </w:pPr>
            <w:r>
              <w:rPr>
                <w:lang w:eastAsia="en-GB"/>
              </w:rPr>
              <w:t>applicable</w:t>
            </w:r>
          </w:p>
        </w:tc>
        <w:tc>
          <w:tcPr>
            <w:tcW w:w="1044" w:type="dxa"/>
            <w:vAlign w:val="top"/>
          </w:tcPr>
          <w:p>
            <w:pPr>
              <w:pStyle w:val="63"/>
              <w:rPr>
                <w:lang w:eastAsia="en-GB"/>
              </w:rPr>
            </w:pPr>
            <w:r>
              <w:rPr>
                <w:lang w:eastAsia="en-GB"/>
              </w:rPr>
              <w:t>applicable</w:t>
            </w:r>
          </w:p>
        </w:tc>
        <w:tc>
          <w:tcPr>
            <w:tcW w:w="1131" w:type="dxa"/>
            <w:vAlign w:val="top"/>
          </w:tcPr>
          <w:p>
            <w:pPr>
              <w:pStyle w:val="63"/>
              <w:rPr>
                <w:lang w:eastAsia="en-GB"/>
              </w:rPr>
            </w:pPr>
            <w:r>
              <w:rPr>
                <w:lang w:eastAsia="en-GB"/>
              </w:rPr>
              <w:t>8.4</w:t>
            </w:r>
          </w:p>
        </w:tc>
        <w:tc>
          <w:tcPr>
            <w:tcW w:w="3169" w:type="dxa"/>
            <w:vAlign w:val="top"/>
          </w:tcPr>
          <w:p>
            <w:pPr>
              <w:pStyle w:val="63"/>
              <w:rPr>
                <w:lang w:eastAsia="en-GB"/>
              </w:rPr>
            </w:pPr>
            <w:r>
              <w:rPr>
                <w:lang w:eastAsia="en-GB"/>
              </w:rPr>
              <w:t>CISPR </w:t>
            </w:r>
            <w:r>
              <w:rPr>
                <w:rFonts w:hint="eastAsia"/>
                <w:lang w:val="en-US" w:eastAsia="zh-CN"/>
              </w:rPr>
              <w:t>3</w:t>
            </w:r>
            <w:r>
              <w:rPr>
                <w:lang w:eastAsia="en-GB"/>
              </w:rPr>
              <w:t>2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trHeight w:val="0" w:hRule="atLeast"/>
          <w:jc w:val="center"/>
        </w:trPr>
        <w:tc>
          <w:tcPr>
            <w:tcW w:w="1669" w:type="dxa"/>
            <w:vAlign w:val="top"/>
          </w:tcPr>
          <w:p>
            <w:pPr>
              <w:pStyle w:val="63"/>
              <w:rPr>
                <w:lang w:eastAsia="en-GB"/>
              </w:rPr>
            </w:pPr>
            <w:r>
              <w:rPr>
                <w:lang w:eastAsia="en-GB"/>
              </w:rPr>
              <w:t>Conducted emission</w:t>
            </w:r>
          </w:p>
        </w:tc>
        <w:tc>
          <w:tcPr>
            <w:tcW w:w="1726" w:type="dxa"/>
            <w:vAlign w:val="top"/>
          </w:tcPr>
          <w:p>
            <w:pPr>
              <w:pStyle w:val="63"/>
              <w:rPr>
                <w:highlight w:val="none"/>
                <w:lang w:eastAsia="en-GB"/>
              </w:rPr>
            </w:pPr>
            <w:r>
              <w:rPr>
                <w:rFonts w:hint="eastAsia"/>
                <w:i/>
                <w:iCs/>
                <w:highlight w:val="none"/>
                <w:lang w:eastAsia="zh-CN"/>
              </w:rPr>
              <w:t>Telecommunication</w:t>
            </w:r>
            <w:r>
              <w:rPr>
                <w:i/>
                <w:iCs/>
                <w:highlight w:val="none"/>
                <w:lang w:eastAsia="en-GB"/>
              </w:rPr>
              <w:t xml:space="preserve"> port</w:t>
            </w:r>
          </w:p>
        </w:tc>
        <w:tc>
          <w:tcPr>
            <w:tcW w:w="1118" w:type="dxa"/>
            <w:vAlign w:val="top"/>
          </w:tcPr>
          <w:p>
            <w:pPr>
              <w:pStyle w:val="63"/>
              <w:rPr>
                <w:lang w:eastAsia="en-GB"/>
              </w:rPr>
            </w:pPr>
            <w:r>
              <w:rPr>
                <w:lang w:eastAsia="en-GB"/>
              </w:rPr>
              <w:t>applicable</w:t>
            </w:r>
            <w:r>
              <w:rPr>
                <w:lang w:eastAsia="en-GB"/>
              </w:rPr>
              <w:br w:type="textWrapping"/>
            </w:r>
          </w:p>
        </w:tc>
        <w:tc>
          <w:tcPr>
            <w:tcW w:w="1044" w:type="dxa"/>
            <w:vAlign w:val="top"/>
          </w:tcPr>
          <w:p>
            <w:pPr>
              <w:pStyle w:val="63"/>
              <w:rPr>
                <w:lang w:eastAsia="en-GB"/>
              </w:rPr>
            </w:pPr>
            <w:r>
              <w:rPr>
                <w:lang w:eastAsia="en-GB"/>
              </w:rPr>
              <w:t>applicable</w:t>
            </w:r>
          </w:p>
        </w:tc>
        <w:tc>
          <w:tcPr>
            <w:tcW w:w="1131" w:type="dxa"/>
            <w:vAlign w:val="top"/>
          </w:tcPr>
          <w:p>
            <w:pPr>
              <w:pStyle w:val="63"/>
              <w:rPr>
                <w:lang w:eastAsia="en-GB"/>
              </w:rPr>
            </w:pPr>
            <w:r>
              <w:rPr>
                <w:lang w:eastAsia="en-GB"/>
              </w:rPr>
              <w:t>8.</w:t>
            </w:r>
            <w:r>
              <w:rPr>
                <w:rFonts w:hint="eastAsia"/>
                <w:lang w:val="en-US" w:eastAsia="zh-CN"/>
              </w:rPr>
              <w:t>5</w:t>
            </w:r>
          </w:p>
        </w:tc>
        <w:tc>
          <w:tcPr>
            <w:tcW w:w="3169" w:type="dxa"/>
            <w:vAlign w:val="top"/>
          </w:tcPr>
          <w:p>
            <w:pPr>
              <w:pStyle w:val="63"/>
              <w:rPr>
                <w:lang w:eastAsia="en-GB"/>
              </w:rPr>
            </w:pPr>
            <w:r>
              <w:rPr>
                <w:lang w:eastAsia="en-GB"/>
              </w:rPr>
              <w:t xml:space="preserve">CISPR </w:t>
            </w:r>
            <w:r>
              <w:rPr>
                <w:rFonts w:hint="eastAsia"/>
                <w:lang w:val="en-US" w:eastAsia="zh-CN"/>
              </w:rPr>
              <w:t>3</w:t>
            </w:r>
            <w:r>
              <w:rPr>
                <w:lang w:eastAsia="en-GB"/>
              </w:rPr>
              <w:t>2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Align w:val="top"/>
          </w:tcPr>
          <w:p>
            <w:pPr>
              <w:pStyle w:val="63"/>
              <w:rPr>
                <w:lang w:eastAsia="en-GB"/>
              </w:rPr>
            </w:pPr>
            <w:r>
              <w:rPr>
                <w:lang w:eastAsia="en-GB"/>
              </w:rPr>
              <w:t>Harmonic current emissions</w:t>
            </w:r>
          </w:p>
        </w:tc>
        <w:tc>
          <w:tcPr>
            <w:tcW w:w="1726" w:type="dxa"/>
            <w:vAlign w:val="top"/>
          </w:tcPr>
          <w:p>
            <w:pPr>
              <w:pStyle w:val="63"/>
              <w:rPr>
                <w:highlight w:val="none"/>
                <w:lang w:eastAsia="en-GB"/>
              </w:rPr>
            </w:pPr>
            <w:r>
              <w:rPr>
                <w:highlight w:val="none"/>
                <w:lang w:eastAsia="en-GB"/>
              </w:rPr>
              <w:t xml:space="preserve">AC mains input </w:t>
            </w:r>
            <w:r>
              <w:rPr>
                <w:iCs/>
                <w:highlight w:val="none"/>
                <w:lang w:eastAsia="en-GB"/>
              </w:rPr>
              <w:t>port</w:t>
            </w:r>
          </w:p>
        </w:tc>
        <w:tc>
          <w:tcPr>
            <w:tcW w:w="1118" w:type="dxa"/>
            <w:vAlign w:val="top"/>
          </w:tcPr>
          <w:p>
            <w:pPr>
              <w:pStyle w:val="63"/>
              <w:rPr>
                <w:lang w:eastAsia="en-GB"/>
              </w:rPr>
            </w:pPr>
            <w:r>
              <w:rPr>
                <w:lang w:eastAsia="en-GB"/>
              </w:rPr>
              <w:t>applicable</w:t>
            </w:r>
          </w:p>
        </w:tc>
        <w:tc>
          <w:tcPr>
            <w:tcW w:w="1044" w:type="dxa"/>
            <w:vAlign w:val="top"/>
          </w:tcPr>
          <w:p>
            <w:pPr>
              <w:pStyle w:val="63"/>
              <w:rPr>
                <w:lang w:eastAsia="en-GB"/>
              </w:rPr>
            </w:pPr>
            <w:r>
              <w:rPr>
                <w:lang w:eastAsia="en-GB"/>
              </w:rPr>
              <w:t xml:space="preserve"> applicable</w:t>
            </w:r>
          </w:p>
        </w:tc>
        <w:tc>
          <w:tcPr>
            <w:tcW w:w="1131" w:type="dxa"/>
            <w:vAlign w:val="top"/>
          </w:tcPr>
          <w:p>
            <w:pPr>
              <w:pStyle w:val="63"/>
              <w:rPr>
                <w:lang w:eastAsia="en-GB"/>
              </w:rPr>
            </w:pPr>
            <w:r>
              <w:rPr>
                <w:lang w:eastAsia="en-GB"/>
              </w:rPr>
              <w:t>8.</w:t>
            </w:r>
            <w:r>
              <w:rPr>
                <w:rFonts w:hint="eastAsia"/>
                <w:lang w:val="en-US" w:eastAsia="zh-CN"/>
              </w:rPr>
              <w:t>6</w:t>
            </w:r>
          </w:p>
        </w:tc>
        <w:tc>
          <w:tcPr>
            <w:tcW w:w="3169" w:type="dxa"/>
            <w:vAlign w:val="top"/>
          </w:tcPr>
          <w:p>
            <w:pPr>
              <w:pStyle w:val="63"/>
              <w:rPr>
                <w:lang w:eastAsia="en-GB"/>
              </w:rPr>
            </w:pPr>
            <w:r>
              <w:rPr>
                <w:lang w:eastAsia="en-GB"/>
              </w:rPr>
              <w:t>IEC 61000-3-2 [13] or</w:t>
            </w:r>
            <w:r>
              <w:rPr>
                <w:lang w:eastAsia="en-GB"/>
              </w:rPr>
              <w:br w:type="textWrapping"/>
            </w:r>
            <w:r>
              <w:rPr>
                <w:lang w:eastAsia="en-GB"/>
              </w:rPr>
              <w:t xml:space="preserve"> IEC 61000-3-12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trHeight w:val="0" w:hRule="atLeast"/>
          <w:jc w:val="center"/>
        </w:trPr>
        <w:tc>
          <w:tcPr>
            <w:tcW w:w="1669" w:type="dxa"/>
            <w:vAlign w:val="top"/>
          </w:tcPr>
          <w:p>
            <w:pPr>
              <w:pStyle w:val="63"/>
              <w:rPr>
                <w:lang w:eastAsia="en-GB"/>
              </w:rPr>
            </w:pPr>
            <w:r>
              <w:rPr>
                <w:lang w:eastAsia="en-GB"/>
              </w:rPr>
              <w:t>Voltage fluctuations and flicker</w:t>
            </w:r>
          </w:p>
        </w:tc>
        <w:tc>
          <w:tcPr>
            <w:tcW w:w="1726" w:type="dxa"/>
            <w:vAlign w:val="top"/>
          </w:tcPr>
          <w:p>
            <w:pPr>
              <w:pStyle w:val="63"/>
              <w:rPr>
                <w:highlight w:val="none"/>
                <w:lang w:eastAsia="en-GB"/>
              </w:rPr>
            </w:pPr>
            <w:r>
              <w:rPr>
                <w:highlight w:val="none"/>
                <w:lang w:eastAsia="en-GB"/>
              </w:rPr>
              <w:t xml:space="preserve">AC mains input </w:t>
            </w:r>
            <w:r>
              <w:rPr>
                <w:iCs/>
                <w:highlight w:val="none"/>
                <w:lang w:eastAsia="en-GB"/>
              </w:rPr>
              <w:t>port</w:t>
            </w:r>
          </w:p>
        </w:tc>
        <w:tc>
          <w:tcPr>
            <w:tcW w:w="1118" w:type="dxa"/>
            <w:vAlign w:val="top"/>
          </w:tcPr>
          <w:p>
            <w:pPr>
              <w:pStyle w:val="63"/>
              <w:rPr>
                <w:lang w:eastAsia="en-GB"/>
              </w:rPr>
            </w:pPr>
            <w:r>
              <w:rPr>
                <w:lang w:eastAsia="en-GB"/>
              </w:rPr>
              <w:t>applicable</w:t>
            </w:r>
          </w:p>
        </w:tc>
        <w:tc>
          <w:tcPr>
            <w:tcW w:w="1044" w:type="dxa"/>
            <w:vAlign w:val="top"/>
          </w:tcPr>
          <w:p>
            <w:pPr>
              <w:pStyle w:val="63"/>
              <w:rPr>
                <w:lang w:eastAsia="en-GB"/>
              </w:rPr>
            </w:pPr>
            <w:r>
              <w:rPr>
                <w:lang w:eastAsia="en-GB"/>
              </w:rPr>
              <w:t>applicable</w:t>
            </w:r>
          </w:p>
        </w:tc>
        <w:tc>
          <w:tcPr>
            <w:tcW w:w="1131" w:type="dxa"/>
            <w:vAlign w:val="top"/>
          </w:tcPr>
          <w:p>
            <w:pPr>
              <w:pStyle w:val="63"/>
              <w:rPr>
                <w:lang w:eastAsia="en-GB"/>
              </w:rPr>
            </w:pPr>
            <w:r>
              <w:rPr>
                <w:lang w:eastAsia="en-GB"/>
              </w:rPr>
              <w:t>8.</w:t>
            </w:r>
            <w:r>
              <w:rPr>
                <w:rFonts w:hint="eastAsia"/>
                <w:lang w:val="en-US" w:eastAsia="zh-CN"/>
              </w:rPr>
              <w:t>7</w:t>
            </w:r>
          </w:p>
        </w:tc>
        <w:tc>
          <w:tcPr>
            <w:tcW w:w="3169" w:type="dxa"/>
            <w:vAlign w:val="top"/>
          </w:tcPr>
          <w:p>
            <w:pPr>
              <w:pStyle w:val="63"/>
              <w:rPr>
                <w:lang w:eastAsia="en-GB"/>
              </w:rPr>
            </w:pPr>
            <w:r>
              <w:rPr>
                <w:lang w:eastAsia="en-GB"/>
              </w:rPr>
              <w:t>IEC 61000-3-3 [15</w:t>
            </w:r>
            <w:r>
              <w:rPr>
                <w:lang w:eastAsia="zh-CN"/>
              </w:rPr>
              <w:t>] or</w:t>
            </w:r>
            <w:r>
              <w:rPr>
                <w:lang w:eastAsia="zh-CN"/>
              </w:rPr>
              <w:br w:type="textWrapping"/>
            </w:r>
            <w:r>
              <w:rPr>
                <w:lang w:eastAsia="zh-CN"/>
              </w:rPr>
              <w:t xml:space="preserve"> IEC 61000-3-11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trHeight w:val="0" w:hRule="atLeast"/>
          <w:jc w:val="center"/>
        </w:trPr>
        <w:tc>
          <w:tcPr>
            <w:tcW w:w="9857" w:type="dxa"/>
            <w:gridSpan w:val="6"/>
            <w:vAlign w:val="top"/>
          </w:tcPr>
          <w:p>
            <w:pPr>
              <w:pStyle w:val="75"/>
              <w:rPr>
                <w:lang w:val="en-US" w:eastAsia="en-GB"/>
              </w:rPr>
            </w:pPr>
            <w:r>
              <w:rPr>
                <w:lang w:eastAsia="en-GB"/>
              </w:rPr>
              <w:t>N</w:t>
            </w:r>
            <w:r>
              <w:rPr>
                <w:lang w:eastAsia="zh-CN"/>
              </w:rPr>
              <w:t>OTE</w:t>
            </w:r>
            <w:r>
              <w:rPr>
                <w:lang w:eastAsia="en-GB"/>
              </w:rPr>
              <w:t>:</w:t>
            </w:r>
            <w:r>
              <w:rPr>
                <w:lang w:eastAsia="en-GB"/>
              </w:rPr>
              <w:tab/>
            </w:r>
            <w:r>
              <w:rPr>
                <w:rFonts w:hint="eastAsia"/>
                <w:lang w:val="en-US" w:eastAsia="zh-CN"/>
              </w:rPr>
              <w:t xml:space="preserve">Radiated </w:t>
            </w:r>
            <w:r>
              <w:rPr>
                <w:lang w:val="en-US" w:eastAsia="zh-CN"/>
              </w:rPr>
              <w:t>e</w:t>
            </w:r>
            <w:r>
              <w:rPr>
                <w:rFonts w:hint="eastAsia"/>
                <w:lang w:val="en-US" w:eastAsia="zh-CN"/>
              </w:rPr>
              <w:t xml:space="preserve">mission requirements for </w:t>
            </w:r>
            <w:r>
              <w:rPr>
                <w:rFonts w:hint="eastAsia"/>
                <w:i/>
                <w:iCs/>
                <w:lang w:val="en-US" w:eastAsia="zh-CN"/>
              </w:rPr>
              <w:t xml:space="preserve">BS </w:t>
            </w:r>
            <w:r>
              <w:rPr>
                <w:i/>
                <w:iCs/>
                <w:lang w:val="en-US" w:eastAsia="zh-CN"/>
              </w:rPr>
              <w:t xml:space="preserve">type </w:t>
            </w:r>
            <w:r>
              <w:rPr>
                <w:rFonts w:hint="eastAsia"/>
                <w:i/>
                <w:iCs/>
                <w:lang w:val="en-US" w:eastAsia="zh-CN"/>
              </w:rPr>
              <w:t>1-O</w:t>
            </w:r>
            <w:r>
              <w:rPr>
                <w:rFonts w:hint="eastAsia"/>
                <w:lang w:val="en-US" w:eastAsia="zh-CN"/>
              </w:rPr>
              <w:t xml:space="preserve"> and</w:t>
            </w:r>
            <w:r>
              <w:rPr>
                <w:rFonts w:hint="eastAsia"/>
                <w:i/>
                <w:iCs/>
                <w:lang w:val="en-US" w:eastAsia="zh-CN"/>
              </w:rPr>
              <w:t xml:space="preserve"> </w:t>
            </w:r>
            <w:r>
              <w:rPr>
                <w:i/>
                <w:iCs/>
                <w:lang w:val="en-US" w:eastAsia="zh-CN"/>
              </w:rPr>
              <w:t xml:space="preserve">BS type </w:t>
            </w:r>
            <w:r>
              <w:rPr>
                <w:rFonts w:hint="eastAsia"/>
                <w:i/>
                <w:iCs/>
                <w:lang w:val="en-US" w:eastAsia="zh-CN"/>
              </w:rPr>
              <w:t>2-O</w:t>
            </w:r>
            <w:r>
              <w:rPr>
                <w:rFonts w:hint="eastAsia"/>
                <w:lang w:val="en-US" w:eastAsia="zh-CN"/>
              </w:rPr>
              <w:t xml:space="preserve"> are described in subclause 8.2.1. </w:t>
            </w:r>
          </w:p>
        </w:tc>
      </w:tr>
    </w:tbl>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default"/>
          <w:lang w:val="en-US" w:eastAsia="zh-CN"/>
        </w:rPr>
      </w:pPr>
      <w:r>
        <w:rPr>
          <w:rFonts w:hint="eastAsia"/>
          <w:lang w:val="en-US" w:eastAsia="zh-CN"/>
        </w:rPr>
        <w:t>Table 2 Immunity requirement applicability</w:t>
      </w:r>
    </w:p>
    <w:tbl>
      <w:tblPr>
        <w:tblStyle w:val="52"/>
        <w:tblW w:w="97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1976"/>
        <w:gridCol w:w="1746"/>
        <w:gridCol w:w="1213"/>
        <w:gridCol w:w="1241"/>
        <w:gridCol w:w="1757"/>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Merge w:val="restart"/>
            <w:vAlign w:val="center"/>
          </w:tcPr>
          <w:p>
            <w:pPr>
              <w:pStyle w:val="62"/>
              <w:rPr>
                <w:rFonts w:cs="Arial"/>
                <w:lang w:eastAsia="en-GB"/>
              </w:rPr>
            </w:pPr>
            <w:r>
              <w:rPr>
                <w:rFonts w:cs="Arial"/>
                <w:lang w:eastAsia="en-GB"/>
              </w:rPr>
              <w:t>Phenomenon</w:t>
            </w:r>
          </w:p>
        </w:tc>
        <w:tc>
          <w:tcPr>
            <w:tcW w:w="1746" w:type="dxa"/>
            <w:vMerge w:val="restart"/>
            <w:vAlign w:val="center"/>
          </w:tcPr>
          <w:p>
            <w:pPr>
              <w:pStyle w:val="62"/>
              <w:rPr>
                <w:rFonts w:cs="Arial"/>
                <w:highlight w:val="none"/>
                <w:lang w:eastAsia="en-GB"/>
              </w:rPr>
            </w:pPr>
            <w:r>
              <w:rPr>
                <w:rFonts w:cs="Arial"/>
                <w:highlight w:val="none"/>
                <w:lang w:eastAsia="en-GB"/>
              </w:rPr>
              <w:t>Application</w:t>
            </w:r>
          </w:p>
        </w:tc>
        <w:tc>
          <w:tcPr>
            <w:tcW w:w="2454" w:type="dxa"/>
            <w:gridSpan w:val="2"/>
            <w:vAlign w:val="center"/>
          </w:tcPr>
          <w:p>
            <w:pPr>
              <w:pStyle w:val="62"/>
              <w:rPr>
                <w:rFonts w:cs="Arial"/>
                <w:lang w:eastAsia="en-GB"/>
              </w:rPr>
            </w:pPr>
            <w:r>
              <w:rPr>
                <w:rFonts w:cs="Arial"/>
                <w:lang w:eastAsia="en-GB"/>
              </w:rPr>
              <w:t>Equipment test requirement</w:t>
            </w:r>
          </w:p>
        </w:tc>
        <w:tc>
          <w:tcPr>
            <w:tcW w:w="1757" w:type="dxa"/>
            <w:vMerge w:val="restart"/>
            <w:vAlign w:val="center"/>
          </w:tcPr>
          <w:p>
            <w:pPr>
              <w:pStyle w:val="62"/>
              <w:rPr>
                <w:rFonts w:cs="Arial"/>
                <w:lang w:eastAsia="en-GB"/>
              </w:rPr>
            </w:pPr>
            <w:r>
              <w:rPr>
                <w:rFonts w:cs="Arial"/>
                <w:lang w:eastAsia="en-GB"/>
              </w:rPr>
              <w:t>Reference</w:t>
            </w:r>
          </w:p>
          <w:p>
            <w:pPr>
              <w:pStyle w:val="62"/>
              <w:rPr>
                <w:rFonts w:cs="Arial"/>
                <w:lang w:eastAsia="en-GB"/>
              </w:rPr>
            </w:pPr>
            <w:r>
              <w:rPr>
                <w:rFonts w:cs="Arial"/>
                <w:lang w:eastAsia="en-GB"/>
              </w:rPr>
              <w:t>subclause in the present document</w:t>
            </w:r>
          </w:p>
        </w:tc>
        <w:tc>
          <w:tcPr>
            <w:tcW w:w="1813" w:type="dxa"/>
            <w:vMerge w:val="restart"/>
            <w:vAlign w:val="center"/>
          </w:tcPr>
          <w:p>
            <w:pPr>
              <w:pStyle w:val="62"/>
              <w:rPr>
                <w:rFonts w:cs="Arial"/>
                <w:lang w:eastAsia="en-GB"/>
              </w:rPr>
            </w:pPr>
            <w:r>
              <w:rPr>
                <w:rFonts w:cs="Arial"/>
                <w:lang w:eastAsia="en-GB"/>
              </w:rPr>
              <w:t>Reference</w:t>
            </w:r>
          </w:p>
          <w:p>
            <w:pPr>
              <w:pStyle w:val="62"/>
              <w:rPr>
                <w:rFonts w:cs="Arial"/>
                <w:lang w:eastAsia="en-GB"/>
              </w:rPr>
            </w:pPr>
            <w:r>
              <w:rPr>
                <w:rFonts w:cs="Arial"/>
                <w:lang w:eastAsia="en-GB"/>
              </w:rP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Merge w:val="continue"/>
            <w:vAlign w:val="center"/>
          </w:tcPr>
          <w:p>
            <w:pPr>
              <w:keepNext/>
              <w:keepLines/>
              <w:jc w:val="center"/>
              <w:rPr>
                <w:rFonts w:ascii="Arial" w:hAnsi="Arial" w:cs="v4.2.0"/>
                <w:b/>
                <w:sz w:val="18"/>
                <w:lang w:eastAsia="en-GB"/>
              </w:rPr>
            </w:pPr>
          </w:p>
        </w:tc>
        <w:tc>
          <w:tcPr>
            <w:tcW w:w="1746" w:type="dxa"/>
            <w:vMerge w:val="continue"/>
            <w:vAlign w:val="center"/>
          </w:tcPr>
          <w:p>
            <w:pPr>
              <w:keepNext/>
              <w:keepLines/>
              <w:jc w:val="center"/>
              <w:rPr>
                <w:rFonts w:ascii="Arial" w:hAnsi="Arial" w:cs="v4.2.0"/>
                <w:b/>
                <w:sz w:val="18"/>
                <w:highlight w:val="none"/>
                <w:lang w:eastAsia="en-GB"/>
              </w:rPr>
            </w:pPr>
          </w:p>
        </w:tc>
        <w:tc>
          <w:tcPr>
            <w:tcW w:w="1213" w:type="dxa"/>
            <w:vAlign w:val="center"/>
          </w:tcPr>
          <w:p>
            <w:pPr>
              <w:pStyle w:val="62"/>
              <w:rPr>
                <w:rFonts w:cs="Arial"/>
                <w:lang w:eastAsia="en-GB"/>
              </w:rPr>
            </w:pPr>
            <w:r>
              <w:rPr>
                <w:rFonts w:cs="Arial"/>
                <w:lang w:eastAsia="en-GB"/>
              </w:rPr>
              <w:t>BS equipment</w:t>
            </w:r>
          </w:p>
        </w:tc>
        <w:tc>
          <w:tcPr>
            <w:tcW w:w="1241" w:type="dxa"/>
            <w:vAlign w:val="center"/>
          </w:tcPr>
          <w:p>
            <w:pPr>
              <w:pStyle w:val="62"/>
              <w:rPr>
                <w:rFonts w:cs="Arial"/>
                <w:lang w:eastAsia="en-GB"/>
              </w:rPr>
            </w:pPr>
            <w:r>
              <w:rPr>
                <w:rFonts w:cs="Arial"/>
                <w:lang w:eastAsia="en-GB"/>
              </w:rPr>
              <w:t>Ancillary equipment</w:t>
            </w:r>
          </w:p>
        </w:tc>
        <w:tc>
          <w:tcPr>
            <w:tcW w:w="1757" w:type="dxa"/>
            <w:vMerge w:val="continue"/>
            <w:vAlign w:val="center"/>
          </w:tcPr>
          <w:p>
            <w:pPr>
              <w:keepNext/>
              <w:keepLines/>
              <w:jc w:val="center"/>
              <w:rPr>
                <w:rFonts w:ascii="Arial" w:hAnsi="Arial" w:cs="v4.2.0"/>
                <w:b/>
                <w:sz w:val="18"/>
                <w:lang w:eastAsia="en-GB"/>
              </w:rPr>
            </w:pPr>
          </w:p>
        </w:tc>
        <w:tc>
          <w:tcPr>
            <w:tcW w:w="1813" w:type="dxa"/>
            <w:vMerge w:val="continue"/>
            <w:vAlign w:val="center"/>
          </w:tcPr>
          <w:p>
            <w:pPr>
              <w:keepNext/>
              <w:keepLines/>
              <w:jc w:val="center"/>
              <w:rPr>
                <w:rFonts w:ascii="Arial" w:hAnsi="Arial" w:cs="v4.2.0"/>
                <w:b/>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Align w:val="top"/>
          </w:tcPr>
          <w:p>
            <w:pPr>
              <w:pStyle w:val="63"/>
              <w:rPr>
                <w:rFonts w:cs="Arial"/>
                <w:lang w:eastAsia="en-GB"/>
              </w:rPr>
            </w:pPr>
            <w:r>
              <w:rPr>
                <w:rFonts w:cs="Arial"/>
                <w:lang w:eastAsia="en-GB"/>
              </w:rPr>
              <w:t>RF electro</w:t>
            </w:r>
            <w:r>
              <w:rPr>
                <w:rFonts w:cs="Arial"/>
                <w:lang w:eastAsia="en-GB"/>
              </w:rPr>
              <w:softHyphen/>
            </w:r>
            <w:r>
              <w:rPr>
                <w:rFonts w:cs="Arial"/>
                <w:lang w:eastAsia="en-GB"/>
              </w:rPr>
              <w:t xml:space="preserve">magnetic field </w:t>
            </w:r>
            <w:r>
              <w:rPr>
                <w:rFonts w:cs="Arial"/>
                <w:szCs w:val="22"/>
                <w:lang w:eastAsia="en-GB"/>
              </w:rPr>
              <w:t>(</w:t>
            </w:r>
            <w:r>
              <w:rPr>
                <w:rFonts w:hint="eastAsia" w:cs="Arial"/>
                <w:szCs w:val="22"/>
                <w:lang w:val="en-US" w:eastAsia="zh-CN"/>
              </w:rPr>
              <w:t xml:space="preserve">80 </w:t>
            </w:r>
            <w:r>
              <w:rPr>
                <w:rFonts w:cs="Arial"/>
                <w:szCs w:val="22"/>
                <w:lang w:val="en-US" w:eastAsia="zh-CN"/>
              </w:rPr>
              <w:t>–</w:t>
            </w:r>
            <w:r>
              <w:rPr>
                <w:rFonts w:hint="eastAsia" w:cs="Arial"/>
                <w:szCs w:val="22"/>
                <w:lang w:val="en-US" w:eastAsia="zh-CN"/>
              </w:rPr>
              <w:t xml:space="preserve"> 6000</w:t>
            </w:r>
            <w:r>
              <w:rPr>
                <w:rFonts w:cs="Arial"/>
                <w:szCs w:val="22"/>
                <w:lang w:val="en-US" w:eastAsia="zh-CN"/>
              </w:rPr>
              <w:t xml:space="preserve"> </w:t>
            </w:r>
            <w:r>
              <w:rPr>
                <w:rFonts w:hint="eastAsia" w:cs="Arial"/>
                <w:szCs w:val="22"/>
                <w:lang w:val="en-US" w:eastAsia="zh-CN"/>
              </w:rPr>
              <w:t>MHz</w:t>
            </w:r>
            <w:r>
              <w:rPr>
                <w:rFonts w:cs="Arial"/>
                <w:szCs w:val="22"/>
                <w:lang w:eastAsia="en-GB"/>
              </w:rPr>
              <w:t>)</w:t>
            </w:r>
          </w:p>
        </w:tc>
        <w:tc>
          <w:tcPr>
            <w:tcW w:w="1746" w:type="dxa"/>
            <w:vAlign w:val="top"/>
          </w:tcPr>
          <w:p>
            <w:pPr>
              <w:pStyle w:val="63"/>
              <w:rPr>
                <w:rFonts w:cs="Arial"/>
                <w:highlight w:val="none"/>
                <w:lang w:eastAsia="en-GB"/>
              </w:rPr>
            </w:pPr>
            <w:r>
              <w:rPr>
                <w:rFonts w:cs="Arial"/>
                <w:highlight w:val="none"/>
                <w:lang w:eastAsia="en-GB"/>
              </w:rPr>
              <w:t>Enclosure</w:t>
            </w:r>
          </w:p>
        </w:tc>
        <w:tc>
          <w:tcPr>
            <w:tcW w:w="1213" w:type="dxa"/>
            <w:vAlign w:val="top"/>
          </w:tcPr>
          <w:p>
            <w:pPr>
              <w:pStyle w:val="63"/>
              <w:rPr>
                <w:rFonts w:cs="Arial"/>
                <w:lang w:eastAsia="en-GB"/>
              </w:rPr>
            </w:pPr>
            <w:r>
              <w:rPr>
                <w:rFonts w:cs="Arial"/>
                <w:lang w:eastAsia="en-GB"/>
              </w:rPr>
              <w:t>applicable</w:t>
            </w:r>
          </w:p>
        </w:tc>
        <w:tc>
          <w:tcPr>
            <w:tcW w:w="1241" w:type="dxa"/>
            <w:vAlign w:val="top"/>
          </w:tcPr>
          <w:p>
            <w:pPr>
              <w:pStyle w:val="63"/>
              <w:rPr>
                <w:rFonts w:cs="Arial"/>
                <w:lang w:eastAsia="en-GB"/>
              </w:rPr>
            </w:pPr>
            <w:r>
              <w:rPr>
                <w:rFonts w:cs="Arial"/>
                <w:lang w:eastAsia="en-GB"/>
              </w:rPr>
              <w:t>applicable</w:t>
            </w:r>
          </w:p>
        </w:tc>
        <w:tc>
          <w:tcPr>
            <w:tcW w:w="1757" w:type="dxa"/>
            <w:vAlign w:val="top"/>
          </w:tcPr>
          <w:p>
            <w:pPr>
              <w:pStyle w:val="63"/>
              <w:rPr>
                <w:rFonts w:cs="Arial"/>
                <w:lang w:eastAsia="en-GB"/>
              </w:rPr>
            </w:pPr>
            <w:r>
              <w:rPr>
                <w:rFonts w:cs="Arial"/>
                <w:lang w:eastAsia="en-GB"/>
              </w:rPr>
              <w:t>9.</w:t>
            </w:r>
            <w:r>
              <w:rPr>
                <w:rFonts w:hint="eastAsia" w:cs="Arial"/>
                <w:lang w:val="en-US" w:eastAsia="zh-CN"/>
              </w:rPr>
              <w:t>2</w:t>
            </w:r>
          </w:p>
        </w:tc>
        <w:tc>
          <w:tcPr>
            <w:tcW w:w="1813" w:type="dxa"/>
            <w:vAlign w:val="top"/>
          </w:tcPr>
          <w:p>
            <w:pPr>
              <w:pStyle w:val="63"/>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3 [1</w:t>
            </w:r>
            <w:r>
              <w:rPr>
                <w:rFonts w:hint="eastAsia" w:cs="Arial"/>
                <w:lang w:val="en-US" w:eastAsia="zh-CN"/>
              </w:rPr>
              <w:t>8</w:t>
            </w:r>
            <w:r>
              <w:rPr>
                <w:rFonts w:cs="Arial"/>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Align w:val="top"/>
          </w:tcPr>
          <w:p>
            <w:pPr>
              <w:pStyle w:val="63"/>
              <w:rPr>
                <w:rFonts w:cs="Arial"/>
                <w:lang w:eastAsia="en-GB"/>
              </w:rPr>
            </w:pPr>
            <w:r>
              <w:rPr>
                <w:rFonts w:cs="Arial"/>
                <w:lang w:eastAsia="en-GB"/>
              </w:rPr>
              <w:t>Electrostatic discharge</w:t>
            </w:r>
          </w:p>
        </w:tc>
        <w:tc>
          <w:tcPr>
            <w:tcW w:w="1746" w:type="dxa"/>
            <w:vAlign w:val="top"/>
          </w:tcPr>
          <w:p>
            <w:pPr>
              <w:pStyle w:val="63"/>
              <w:rPr>
                <w:rFonts w:cs="Arial"/>
                <w:highlight w:val="none"/>
                <w:lang w:eastAsia="en-GB"/>
              </w:rPr>
            </w:pPr>
            <w:r>
              <w:rPr>
                <w:rFonts w:cs="Arial"/>
                <w:highlight w:val="none"/>
                <w:lang w:eastAsia="en-GB"/>
              </w:rPr>
              <w:t>Enclosure</w:t>
            </w:r>
          </w:p>
        </w:tc>
        <w:tc>
          <w:tcPr>
            <w:tcW w:w="1213" w:type="dxa"/>
            <w:vAlign w:val="top"/>
          </w:tcPr>
          <w:p>
            <w:pPr>
              <w:pStyle w:val="63"/>
              <w:rPr>
                <w:rFonts w:cs="Arial"/>
                <w:lang w:eastAsia="en-GB"/>
              </w:rPr>
            </w:pPr>
            <w:r>
              <w:rPr>
                <w:rFonts w:cs="Arial"/>
                <w:lang w:eastAsia="en-GB"/>
              </w:rPr>
              <w:t>applicable</w:t>
            </w:r>
          </w:p>
        </w:tc>
        <w:tc>
          <w:tcPr>
            <w:tcW w:w="1241" w:type="dxa"/>
            <w:vAlign w:val="top"/>
          </w:tcPr>
          <w:p>
            <w:pPr>
              <w:pStyle w:val="63"/>
              <w:rPr>
                <w:rFonts w:cs="Arial"/>
                <w:lang w:eastAsia="en-GB"/>
              </w:rPr>
            </w:pPr>
            <w:r>
              <w:rPr>
                <w:rFonts w:cs="Arial"/>
                <w:lang w:eastAsia="en-GB"/>
              </w:rPr>
              <w:t>applicable</w:t>
            </w:r>
          </w:p>
        </w:tc>
        <w:tc>
          <w:tcPr>
            <w:tcW w:w="1757" w:type="dxa"/>
            <w:vAlign w:val="top"/>
          </w:tcPr>
          <w:p>
            <w:pPr>
              <w:pStyle w:val="63"/>
              <w:rPr>
                <w:rFonts w:cs="Arial"/>
                <w:lang w:eastAsia="en-GB"/>
              </w:rPr>
            </w:pPr>
            <w:r>
              <w:rPr>
                <w:rFonts w:cs="Arial"/>
                <w:lang w:eastAsia="en-GB"/>
              </w:rPr>
              <w:t>9.</w:t>
            </w:r>
            <w:r>
              <w:rPr>
                <w:rFonts w:hint="eastAsia" w:cs="Arial"/>
                <w:lang w:val="en-US" w:eastAsia="zh-CN"/>
              </w:rPr>
              <w:t>3</w:t>
            </w:r>
          </w:p>
        </w:tc>
        <w:tc>
          <w:tcPr>
            <w:tcW w:w="1813" w:type="dxa"/>
            <w:vAlign w:val="top"/>
          </w:tcPr>
          <w:p>
            <w:pPr>
              <w:pStyle w:val="63"/>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2 [1</w:t>
            </w:r>
            <w:r>
              <w:rPr>
                <w:rFonts w:hint="eastAsia" w:cs="Arial"/>
                <w:lang w:val="en-US" w:eastAsia="zh-CN"/>
              </w:rPr>
              <w:t>7</w:t>
            </w:r>
            <w:r>
              <w:rPr>
                <w:rFonts w:cs="Arial"/>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Align w:val="top"/>
          </w:tcPr>
          <w:p>
            <w:pPr>
              <w:pStyle w:val="63"/>
              <w:rPr>
                <w:rFonts w:cs="Arial"/>
                <w:lang w:eastAsia="en-GB"/>
              </w:rPr>
            </w:pPr>
            <w:r>
              <w:rPr>
                <w:rFonts w:cs="Arial"/>
                <w:lang w:eastAsia="en-GB"/>
              </w:rPr>
              <w:t>Fast transients common mode</w:t>
            </w:r>
          </w:p>
        </w:tc>
        <w:tc>
          <w:tcPr>
            <w:tcW w:w="1746" w:type="dxa"/>
            <w:vAlign w:val="top"/>
          </w:tcPr>
          <w:p>
            <w:pPr>
              <w:pStyle w:val="63"/>
              <w:rPr>
                <w:rFonts w:cs="Arial"/>
                <w:highlight w:val="none"/>
                <w:lang w:eastAsia="en-GB"/>
              </w:rPr>
            </w:pPr>
            <w:r>
              <w:rPr>
                <w:rFonts w:cs="Arial"/>
                <w:highlight w:val="none"/>
                <w:lang w:eastAsia="en-GB"/>
              </w:rPr>
              <w:t xml:space="preserve">Signal, telecommunications and control </w:t>
            </w:r>
            <w:r>
              <w:rPr>
                <w:rFonts w:cs="Arial"/>
                <w:iCs/>
                <w:highlight w:val="none"/>
                <w:lang w:eastAsia="en-GB"/>
              </w:rPr>
              <w:t>ports</w:t>
            </w:r>
            <w:r>
              <w:rPr>
                <w:rFonts w:cs="Arial"/>
                <w:highlight w:val="none"/>
                <w:lang w:eastAsia="en-GB"/>
              </w:rPr>
              <w:t xml:space="preserve">, DC and AC power input </w:t>
            </w:r>
            <w:r>
              <w:rPr>
                <w:rFonts w:cs="Arial"/>
                <w:iCs/>
                <w:highlight w:val="none"/>
                <w:lang w:eastAsia="en-GB"/>
              </w:rPr>
              <w:t>port</w:t>
            </w:r>
            <w:r>
              <w:rPr>
                <w:rFonts w:cs="Arial"/>
                <w:highlight w:val="none"/>
                <w:lang w:eastAsia="en-GB"/>
              </w:rPr>
              <w:t>s</w:t>
            </w:r>
          </w:p>
        </w:tc>
        <w:tc>
          <w:tcPr>
            <w:tcW w:w="1213" w:type="dxa"/>
            <w:vAlign w:val="top"/>
          </w:tcPr>
          <w:p>
            <w:pPr>
              <w:pStyle w:val="63"/>
              <w:rPr>
                <w:rFonts w:cs="Arial"/>
                <w:lang w:eastAsia="en-GB"/>
              </w:rPr>
            </w:pPr>
            <w:r>
              <w:rPr>
                <w:rFonts w:cs="Arial"/>
                <w:lang w:eastAsia="en-GB"/>
              </w:rPr>
              <w:t>applicable</w:t>
            </w:r>
          </w:p>
        </w:tc>
        <w:tc>
          <w:tcPr>
            <w:tcW w:w="1241" w:type="dxa"/>
            <w:vAlign w:val="top"/>
          </w:tcPr>
          <w:p>
            <w:pPr>
              <w:pStyle w:val="63"/>
              <w:rPr>
                <w:rFonts w:cs="Arial"/>
                <w:lang w:eastAsia="en-GB"/>
              </w:rPr>
            </w:pPr>
            <w:r>
              <w:rPr>
                <w:rFonts w:cs="Arial"/>
                <w:lang w:eastAsia="en-GB"/>
              </w:rPr>
              <w:t>applicable</w:t>
            </w:r>
          </w:p>
        </w:tc>
        <w:tc>
          <w:tcPr>
            <w:tcW w:w="1757" w:type="dxa"/>
            <w:vAlign w:val="top"/>
          </w:tcPr>
          <w:p>
            <w:pPr>
              <w:pStyle w:val="63"/>
              <w:rPr>
                <w:rFonts w:cs="Arial"/>
                <w:lang w:eastAsia="en-GB"/>
              </w:rPr>
            </w:pPr>
            <w:r>
              <w:rPr>
                <w:rFonts w:cs="Arial"/>
                <w:lang w:eastAsia="en-GB"/>
              </w:rPr>
              <w:t>9.</w:t>
            </w:r>
            <w:r>
              <w:rPr>
                <w:rFonts w:hint="eastAsia" w:cs="Arial"/>
                <w:lang w:val="en-US" w:eastAsia="zh-CN"/>
              </w:rPr>
              <w:t>4</w:t>
            </w:r>
          </w:p>
        </w:tc>
        <w:tc>
          <w:tcPr>
            <w:tcW w:w="1813" w:type="dxa"/>
            <w:vAlign w:val="top"/>
          </w:tcPr>
          <w:p>
            <w:pPr>
              <w:pStyle w:val="63"/>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4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Align w:val="top"/>
          </w:tcPr>
          <w:p>
            <w:pPr>
              <w:pStyle w:val="63"/>
              <w:rPr>
                <w:rFonts w:cs="Arial"/>
                <w:lang w:eastAsia="en-GB"/>
              </w:rPr>
            </w:pPr>
            <w:r>
              <w:rPr>
                <w:rFonts w:cs="Arial"/>
                <w:lang w:eastAsia="en-GB"/>
              </w:rPr>
              <w:t>RF common mode</w:t>
            </w:r>
          </w:p>
          <w:p>
            <w:pPr>
              <w:pStyle w:val="63"/>
              <w:rPr>
                <w:rFonts w:cs="Arial"/>
                <w:lang w:eastAsia="en-GB"/>
              </w:rPr>
            </w:pPr>
            <w:r>
              <w:rPr>
                <w:rFonts w:cs="Arial"/>
                <w:lang w:eastAsia="en-GB"/>
              </w:rPr>
              <w:t>0.15 - 80 MHz</w:t>
            </w:r>
          </w:p>
        </w:tc>
        <w:tc>
          <w:tcPr>
            <w:tcW w:w="1746" w:type="dxa"/>
            <w:vAlign w:val="top"/>
          </w:tcPr>
          <w:p>
            <w:pPr>
              <w:pStyle w:val="63"/>
              <w:rPr>
                <w:rFonts w:cs="Arial"/>
                <w:highlight w:val="none"/>
                <w:lang w:eastAsia="en-GB"/>
              </w:rPr>
            </w:pPr>
            <w:r>
              <w:rPr>
                <w:rFonts w:cs="Arial"/>
                <w:highlight w:val="none"/>
                <w:lang w:eastAsia="en-GB"/>
              </w:rPr>
              <w:t xml:space="preserve">Signal, telecommunications and control </w:t>
            </w:r>
            <w:r>
              <w:rPr>
                <w:rFonts w:cs="Arial"/>
                <w:iCs/>
                <w:highlight w:val="none"/>
                <w:lang w:eastAsia="en-GB"/>
              </w:rPr>
              <w:t>port</w:t>
            </w:r>
            <w:r>
              <w:rPr>
                <w:rFonts w:cs="Arial"/>
                <w:highlight w:val="none"/>
                <w:lang w:eastAsia="en-GB"/>
              </w:rPr>
              <w:t xml:space="preserve">s, DC and AC power input </w:t>
            </w:r>
            <w:r>
              <w:rPr>
                <w:rFonts w:cs="Arial"/>
                <w:iCs/>
                <w:highlight w:val="none"/>
                <w:lang w:eastAsia="en-GB"/>
              </w:rPr>
              <w:t>port</w:t>
            </w:r>
            <w:r>
              <w:rPr>
                <w:rFonts w:cs="Arial"/>
                <w:highlight w:val="none"/>
                <w:lang w:eastAsia="en-GB"/>
              </w:rPr>
              <w:t>s</w:t>
            </w:r>
          </w:p>
        </w:tc>
        <w:tc>
          <w:tcPr>
            <w:tcW w:w="1213" w:type="dxa"/>
            <w:vAlign w:val="top"/>
          </w:tcPr>
          <w:p>
            <w:pPr>
              <w:pStyle w:val="63"/>
              <w:rPr>
                <w:rFonts w:cs="Arial"/>
                <w:lang w:eastAsia="en-GB"/>
              </w:rPr>
            </w:pPr>
            <w:r>
              <w:rPr>
                <w:rFonts w:cs="Arial"/>
                <w:lang w:eastAsia="en-GB"/>
              </w:rPr>
              <w:t>applicable</w:t>
            </w:r>
          </w:p>
        </w:tc>
        <w:tc>
          <w:tcPr>
            <w:tcW w:w="1241" w:type="dxa"/>
            <w:vAlign w:val="top"/>
          </w:tcPr>
          <w:p>
            <w:pPr>
              <w:pStyle w:val="63"/>
              <w:rPr>
                <w:rFonts w:cs="Arial"/>
                <w:lang w:eastAsia="en-GB"/>
              </w:rPr>
            </w:pPr>
            <w:r>
              <w:rPr>
                <w:rFonts w:cs="Arial"/>
                <w:lang w:eastAsia="en-GB"/>
              </w:rPr>
              <w:t>applicable</w:t>
            </w:r>
          </w:p>
        </w:tc>
        <w:tc>
          <w:tcPr>
            <w:tcW w:w="1757" w:type="dxa"/>
            <w:vAlign w:val="top"/>
          </w:tcPr>
          <w:p>
            <w:pPr>
              <w:pStyle w:val="63"/>
              <w:rPr>
                <w:rFonts w:cs="Arial"/>
                <w:lang w:eastAsia="en-GB"/>
              </w:rPr>
            </w:pPr>
            <w:r>
              <w:rPr>
                <w:rFonts w:cs="Arial"/>
                <w:lang w:eastAsia="en-GB"/>
              </w:rPr>
              <w:t>9.</w:t>
            </w:r>
            <w:r>
              <w:rPr>
                <w:rFonts w:hint="eastAsia" w:cs="Arial"/>
                <w:lang w:val="en-US" w:eastAsia="zh-CN"/>
              </w:rPr>
              <w:t>5</w:t>
            </w:r>
          </w:p>
        </w:tc>
        <w:tc>
          <w:tcPr>
            <w:tcW w:w="1813" w:type="dxa"/>
            <w:vAlign w:val="top"/>
          </w:tcPr>
          <w:p>
            <w:pPr>
              <w:pStyle w:val="63"/>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6 [2</w:t>
            </w:r>
            <w:r>
              <w:rPr>
                <w:rFonts w:hint="eastAsia" w:cs="Arial"/>
                <w:lang w:val="en-US" w:eastAsia="zh-CN"/>
              </w:rPr>
              <w:t>1</w:t>
            </w:r>
            <w:r>
              <w:rPr>
                <w:rFonts w:cs="Arial"/>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Align w:val="top"/>
          </w:tcPr>
          <w:p>
            <w:pPr>
              <w:pStyle w:val="63"/>
              <w:rPr>
                <w:rFonts w:cs="Arial"/>
                <w:lang w:eastAsia="en-GB"/>
              </w:rPr>
            </w:pPr>
            <w:r>
              <w:rPr>
                <w:rFonts w:cs="Arial"/>
                <w:lang w:eastAsia="en-GB"/>
              </w:rPr>
              <w:t>Voltage dips and interruptions</w:t>
            </w:r>
          </w:p>
        </w:tc>
        <w:tc>
          <w:tcPr>
            <w:tcW w:w="1746" w:type="dxa"/>
            <w:vAlign w:val="top"/>
          </w:tcPr>
          <w:p>
            <w:pPr>
              <w:pStyle w:val="63"/>
              <w:rPr>
                <w:rFonts w:cs="Arial"/>
                <w:highlight w:val="none"/>
                <w:lang w:eastAsia="en-GB"/>
              </w:rPr>
            </w:pPr>
            <w:r>
              <w:rPr>
                <w:rFonts w:cs="Arial"/>
                <w:highlight w:val="none"/>
                <w:lang w:eastAsia="en-GB"/>
              </w:rPr>
              <w:t xml:space="preserve">AC mains power input </w:t>
            </w:r>
            <w:r>
              <w:rPr>
                <w:rFonts w:cs="Arial"/>
                <w:i/>
                <w:iCs/>
                <w:highlight w:val="none"/>
                <w:lang w:eastAsia="en-GB"/>
              </w:rPr>
              <w:t>port</w:t>
            </w:r>
            <w:r>
              <w:rPr>
                <w:rFonts w:cs="Arial"/>
                <w:highlight w:val="none"/>
                <w:lang w:eastAsia="en-GB"/>
              </w:rPr>
              <w:t>s</w:t>
            </w:r>
          </w:p>
        </w:tc>
        <w:tc>
          <w:tcPr>
            <w:tcW w:w="1213" w:type="dxa"/>
            <w:vAlign w:val="top"/>
          </w:tcPr>
          <w:p>
            <w:pPr>
              <w:pStyle w:val="63"/>
              <w:rPr>
                <w:rFonts w:cs="Arial"/>
                <w:lang w:eastAsia="en-GB"/>
              </w:rPr>
            </w:pPr>
            <w:r>
              <w:rPr>
                <w:rFonts w:cs="Arial"/>
                <w:lang w:eastAsia="en-GB"/>
              </w:rPr>
              <w:t>applicable</w:t>
            </w:r>
          </w:p>
        </w:tc>
        <w:tc>
          <w:tcPr>
            <w:tcW w:w="1241" w:type="dxa"/>
            <w:vAlign w:val="top"/>
          </w:tcPr>
          <w:p>
            <w:pPr>
              <w:pStyle w:val="63"/>
              <w:rPr>
                <w:rFonts w:cs="Arial"/>
                <w:lang w:eastAsia="en-GB"/>
              </w:rPr>
            </w:pPr>
            <w:r>
              <w:rPr>
                <w:rFonts w:cs="Arial"/>
                <w:lang w:eastAsia="en-GB"/>
              </w:rPr>
              <w:t>applicable</w:t>
            </w:r>
          </w:p>
        </w:tc>
        <w:tc>
          <w:tcPr>
            <w:tcW w:w="1757" w:type="dxa"/>
            <w:vAlign w:val="top"/>
          </w:tcPr>
          <w:p>
            <w:pPr>
              <w:pStyle w:val="63"/>
              <w:rPr>
                <w:rFonts w:cs="Arial"/>
                <w:lang w:eastAsia="en-GB"/>
              </w:rPr>
            </w:pPr>
            <w:r>
              <w:rPr>
                <w:rFonts w:cs="Arial"/>
                <w:lang w:eastAsia="en-GB"/>
              </w:rPr>
              <w:t>9.</w:t>
            </w:r>
            <w:r>
              <w:rPr>
                <w:rFonts w:hint="eastAsia" w:cs="Arial"/>
                <w:lang w:val="en-US" w:eastAsia="zh-CN"/>
              </w:rPr>
              <w:t>6</w:t>
            </w:r>
          </w:p>
        </w:tc>
        <w:tc>
          <w:tcPr>
            <w:tcW w:w="1813" w:type="dxa"/>
            <w:vAlign w:val="top"/>
          </w:tcPr>
          <w:p>
            <w:pPr>
              <w:pStyle w:val="63"/>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11 [2</w:t>
            </w:r>
            <w:r>
              <w:rPr>
                <w:rFonts w:hint="eastAsia" w:cs="Arial"/>
                <w:lang w:val="en-US" w:eastAsia="zh-CN"/>
              </w:rPr>
              <w:t>2</w:t>
            </w:r>
            <w:r>
              <w:rPr>
                <w:rFonts w:cs="Arial"/>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Align w:val="top"/>
          </w:tcPr>
          <w:p>
            <w:pPr>
              <w:pStyle w:val="63"/>
              <w:rPr>
                <w:rFonts w:cs="Arial"/>
                <w:lang w:eastAsia="en-GB"/>
              </w:rPr>
            </w:pPr>
            <w:r>
              <w:rPr>
                <w:rFonts w:cs="Arial"/>
                <w:lang w:eastAsia="en-GB"/>
              </w:rPr>
              <w:t>Surges, common and differential mode</w:t>
            </w:r>
          </w:p>
        </w:tc>
        <w:tc>
          <w:tcPr>
            <w:tcW w:w="1746" w:type="dxa"/>
            <w:vAlign w:val="top"/>
          </w:tcPr>
          <w:p>
            <w:pPr>
              <w:pStyle w:val="63"/>
              <w:rPr>
                <w:rFonts w:cs="Arial"/>
                <w:highlight w:val="none"/>
                <w:lang w:eastAsia="en-GB"/>
              </w:rPr>
            </w:pPr>
            <w:r>
              <w:rPr>
                <w:rFonts w:cs="Arial"/>
                <w:highlight w:val="none"/>
                <w:lang w:eastAsia="en-GB"/>
              </w:rPr>
              <w:t xml:space="preserve"> AC power input </w:t>
            </w:r>
            <w:r>
              <w:rPr>
                <w:rFonts w:cs="Arial"/>
                <w:i/>
                <w:iCs/>
                <w:highlight w:val="none"/>
                <w:lang w:eastAsia="en-GB"/>
              </w:rPr>
              <w:t>port</w:t>
            </w:r>
            <w:r>
              <w:rPr>
                <w:rFonts w:cs="Arial"/>
                <w:highlight w:val="none"/>
                <w:lang w:eastAsia="en-GB"/>
              </w:rPr>
              <w:t xml:space="preserve">s and </w:t>
            </w:r>
            <w:r>
              <w:rPr>
                <w:rFonts w:cs="Arial"/>
                <w:i/>
                <w:iCs/>
                <w:highlight w:val="none"/>
                <w:lang w:eastAsia="en-GB"/>
              </w:rPr>
              <w:t>telecommunications port</w:t>
            </w:r>
          </w:p>
        </w:tc>
        <w:tc>
          <w:tcPr>
            <w:tcW w:w="1213" w:type="dxa"/>
            <w:vAlign w:val="top"/>
          </w:tcPr>
          <w:p>
            <w:pPr>
              <w:pStyle w:val="63"/>
              <w:rPr>
                <w:rFonts w:cs="Arial"/>
                <w:lang w:eastAsia="en-GB"/>
              </w:rPr>
            </w:pPr>
            <w:r>
              <w:rPr>
                <w:rFonts w:cs="Arial"/>
                <w:lang w:eastAsia="en-GB"/>
              </w:rPr>
              <w:t>applicable</w:t>
            </w:r>
          </w:p>
        </w:tc>
        <w:tc>
          <w:tcPr>
            <w:tcW w:w="1241" w:type="dxa"/>
            <w:vAlign w:val="top"/>
          </w:tcPr>
          <w:p>
            <w:pPr>
              <w:pStyle w:val="63"/>
              <w:rPr>
                <w:rFonts w:cs="Arial"/>
                <w:lang w:eastAsia="en-GB"/>
              </w:rPr>
            </w:pPr>
            <w:r>
              <w:rPr>
                <w:rFonts w:cs="Arial"/>
                <w:lang w:eastAsia="en-GB"/>
              </w:rPr>
              <w:t>applicable</w:t>
            </w:r>
          </w:p>
        </w:tc>
        <w:tc>
          <w:tcPr>
            <w:tcW w:w="1757" w:type="dxa"/>
            <w:vAlign w:val="top"/>
          </w:tcPr>
          <w:p>
            <w:pPr>
              <w:pStyle w:val="63"/>
              <w:rPr>
                <w:rFonts w:cs="Arial"/>
                <w:lang w:eastAsia="en-GB"/>
              </w:rPr>
            </w:pPr>
            <w:r>
              <w:rPr>
                <w:rFonts w:cs="Arial"/>
                <w:lang w:eastAsia="en-GB"/>
              </w:rPr>
              <w:t>9.</w:t>
            </w:r>
            <w:r>
              <w:rPr>
                <w:rFonts w:hint="eastAsia" w:cs="Arial"/>
                <w:lang w:val="en-US" w:eastAsia="zh-CN"/>
              </w:rPr>
              <w:t>7</w:t>
            </w:r>
          </w:p>
        </w:tc>
        <w:tc>
          <w:tcPr>
            <w:tcW w:w="1813" w:type="dxa"/>
            <w:vAlign w:val="top"/>
          </w:tcPr>
          <w:p>
            <w:pPr>
              <w:pStyle w:val="63"/>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5 [2</w:t>
            </w:r>
            <w:r>
              <w:rPr>
                <w:rFonts w:hint="eastAsia" w:cs="Arial"/>
                <w:lang w:val="en-US" w:eastAsia="zh-CN"/>
              </w:rPr>
              <w:t>0</w:t>
            </w:r>
            <w:r>
              <w:rPr>
                <w:rFonts w:cs="Arial"/>
                <w:lang w:eastAsia="en-GB"/>
              </w:rPr>
              <w:t>]</w:t>
            </w:r>
          </w:p>
        </w:tc>
      </w:tr>
    </w:tbl>
    <w:p>
      <w:pPr>
        <w:bidi w:val="0"/>
        <w:jc w:val="left"/>
        <w:rPr>
          <w:rFonts w:hint="default"/>
          <w:lang w:val="en-US" w:eastAsia="zh-CN"/>
        </w:rPr>
      </w:pPr>
      <w:r>
        <w:rPr>
          <w:rFonts w:hint="eastAsia"/>
          <w:lang w:val="en-US" w:eastAsia="zh-CN"/>
        </w:rPr>
        <w:t>As we can see in table 1 and 2, the application column can be categorized to two different parts as:</w:t>
      </w:r>
    </w:p>
    <w:p>
      <w:pPr>
        <w:numPr>
          <w:ilvl w:val="0"/>
          <w:numId w:val="8"/>
        </w:numPr>
        <w:bidi w:val="0"/>
        <w:ind w:left="425" w:leftChars="0" w:hanging="425" w:firstLineChars="0"/>
        <w:jc w:val="left"/>
        <w:rPr>
          <w:rFonts w:hint="eastAsia"/>
          <w:lang w:val="en-US" w:eastAsia="zh-CN"/>
        </w:rPr>
      </w:pPr>
      <w:r>
        <w:rPr>
          <w:rFonts w:hint="eastAsia"/>
          <w:lang w:val="en-US" w:eastAsia="zh-CN"/>
        </w:rPr>
        <w:t xml:space="preserve">Enclosure: </w:t>
      </w:r>
    </w:p>
    <w:p>
      <w:pPr>
        <w:bidi w:val="0"/>
        <w:jc w:val="left"/>
        <w:rPr>
          <w:rFonts w:hint="eastAsia"/>
          <w:lang w:val="en-US" w:eastAsia="zh-CN"/>
        </w:rPr>
      </w:pPr>
      <w:r>
        <w:rPr>
          <w:rFonts w:hint="eastAsia"/>
          <w:lang w:val="en-US" w:eastAsia="zh-CN"/>
        </w:rPr>
        <w:t xml:space="preserve">Currently the DU and MT are logical concepts. When considering the enclosure of an IAB node, there might be two scenarios. </w:t>
      </w:r>
    </w:p>
    <w:p>
      <w:pPr>
        <w:numPr>
          <w:ilvl w:val="0"/>
          <w:numId w:val="9"/>
        </w:numPr>
        <w:bidi w:val="0"/>
        <w:ind w:left="840" w:leftChars="0" w:hanging="420" w:firstLineChars="0"/>
        <w:jc w:val="left"/>
        <w:rPr>
          <w:rFonts w:hint="default"/>
          <w:lang w:val="en-US" w:eastAsia="zh-CN"/>
        </w:rPr>
      </w:pPr>
      <w:r>
        <w:rPr>
          <w:rFonts w:hint="eastAsia"/>
          <w:lang w:val="en-US" w:eastAsia="zh-CN"/>
        </w:rPr>
        <w:t xml:space="preserve">DU and MT has separate physical enclosure: </w:t>
      </w:r>
    </w:p>
    <w:p>
      <w:pPr>
        <w:numPr>
          <w:ilvl w:val="0"/>
          <w:numId w:val="0"/>
        </w:numPr>
        <w:bidi w:val="0"/>
        <w:ind w:left="420" w:leftChars="0"/>
        <w:jc w:val="left"/>
        <w:rPr>
          <w:rFonts w:hint="default"/>
          <w:lang w:val="en-US" w:eastAsia="zh-CN"/>
        </w:rPr>
      </w:pPr>
      <w:r>
        <w:rPr>
          <w:rFonts w:hint="eastAsia"/>
          <w:lang w:val="en-US" w:eastAsia="zh-CN"/>
        </w:rPr>
        <w:t xml:space="preserve">The EMC requirement can be defined based on different enclosure.  </w:t>
      </w:r>
    </w:p>
    <w:p>
      <w:pPr>
        <w:numPr>
          <w:ilvl w:val="0"/>
          <w:numId w:val="9"/>
        </w:numPr>
        <w:bidi w:val="0"/>
        <w:ind w:left="840" w:leftChars="0" w:hanging="420" w:firstLineChars="0"/>
        <w:jc w:val="left"/>
        <w:rPr>
          <w:rFonts w:hint="default"/>
          <w:lang w:val="en-US" w:eastAsia="zh-CN"/>
        </w:rPr>
      </w:pPr>
      <w:r>
        <w:rPr>
          <w:rFonts w:hint="eastAsia"/>
          <w:lang w:val="en-US" w:eastAsia="zh-CN"/>
        </w:rPr>
        <w:t xml:space="preserve">DU and MT share the same physical enclosure: </w:t>
      </w:r>
    </w:p>
    <w:p>
      <w:pPr>
        <w:numPr>
          <w:ilvl w:val="0"/>
          <w:numId w:val="0"/>
        </w:numPr>
        <w:bidi w:val="0"/>
        <w:ind w:left="420" w:leftChars="0"/>
        <w:jc w:val="left"/>
        <w:rPr>
          <w:rFonts w:hint="default"/>
          <w:lang w:val="en-US" w:eastAsia="zh-CN"/>
        </w:rPr>
      </w:pPr>
      <w:r>
        <w:rPr>
          <w:rFonts w:hint="eastAsia"/>
          <w:lang w:val="en-US" w:eastAsia="zh-CN"/>
        </w:rPr>
        <w:t xml:space="preserve">In this case, the EMC requirement cannot be distinguished. The difference of EMC requirement for a base station and an UE has been fully discussed in [2]. Hence, in this case, we need to find some way to solve this problem, which needs further study under the IAB WID. Corresponding tests are radiated emission test, radiated immunity test and electrostatic discharge test. </w:t>
      </w:r>
    </w:p>
    <w:p>
      <w:pPr>
        <w:numPr>
          <w:ilvl w:val="0"/>
          <w:numId w:val="8"/>
        </w:numPr>
        <w:bidi w:val="0"/>
        <w:ind w:left="425" w:leftChars="0" w:hanging="425" w:firstLineChars="0"/>
        <w:jc w:val="left"/>
        <w:rPr>
          <w:rFonts w:hint="eastAsia"/>
          <w:sz w:val="21"/>
          <w:szCs w:val="22"/>
          <w:lang w:val="en-US" w:eastAsia="zh-CN"/>
        </w:rPr>
      </w:pPr>
      <w:r>
        <w:rPr>
          <w:rFonts w:hint="eastAsia"/>
          <w:sz w:val="21"/>
          <w:szCs w:val="22"/>
          <w:lang w:val="en-US" w:eastAsia="en-GB"/>
        </w:rPr>
        <w:t>Signal, telecommunications and control ports, DC and AC power input ports</w:t>
      </w:r>
      <w:r>
        <w:rPr>
          <w:rFonts w:hint="eastAsia"/>
          <w:sz w:val="21"/>
          <w:szCs w:val="22"/>
          <w:lang w:val="en-US" w:eastAsia="zh-CN"/>
        </w:rPr>
        <w:t xml:space="preserve">: </w:t>
      </w:r>
    </w:p>
    <w:p>
      <w:pPr>
        <w:numPr>
          <w:ilvl w:val="0"/>
          <w:numId w:val="0"/>
        </w:numPr>
        <w:bidi w:val="0"/>
        <w:ind w:left="420" w:leftChars="0"/>
        <w:jc w:val="left"/>
        <w:rPr>
          <w:rFonts w:hint="default"/>
          <w:lang w:val="en-US" w:eastAsia="zh-CN"/>
        </w:rPr>
      </w:pPr>
      <w:r>
        <w:rPr>
          <w:rFonts w:hint="eastAsia"/>
          <w:lang w:val="en-US" w:eastAsia="zh-CN"/>
        </w:rPr>
        <w:t xml:space="preserve">The EMC requirement can be defined based on different ports, however, different requirement should be applied for in-door and out-door case. </w:t>
      </w:r>
    </w:p>
    <w:p>
      <w:pPr>
        <w:numPr>
          <w:ilvl w:val="0"/>
          <w:numId w:val="0"/>
        </w:numPr>
        <w:bidi w:val="0"/>
        <w:jc w:val="left"/>
        <w:rPr>
          <w:rFonts w:hint="eastAsia"/>
          <w:b/>
          <w:bCs/>
          <w:lang w:val="en-US" w:eastAsia="zh-CN"/>
        </w:rPr>
      </w:pPr>
      <w:r>
        <w:rPr>
          <w:rFonts w:hint="eastAsia"/>
          <w:b/>
          <w:bCs/>
          <w:lang w:val="en-US" w:eastAsia="zh-CN"/>
        </w:rPr>
        <w:t>Observation 1: Current EMC requirement cannot fully apply to IAB-node.</w:t>
      </w:r>
    </w:p>
    <w:p>
      <w:pPr>
        <w:numPr>
          <w:ilvl w:val="0"/>
          <w:numId w:val="0"/>
        </w:numPr>
        <w:bidi w:val="0"/>
        <w:jc w:val="left"/>
        <w:rPr>
          <w:rFonts w:hint="default"/>
          <w:b/>
          <w:bCs/>
          <w:lang w:val="en-US" w:eastAsia="zh-CN"/>
        </w:rPr>
      </w:pPr>
      <w:bookmarkStart w:id="8" w:name="_GoBack"/>
      <w:bookmarkEnd w:id="8"/>
      <w:r>
        <w:rPr>
          <w:rFonts w:hint="eastAsia"/>
          <w:b/>
          <w:bCs/>
          <w:lang w:val="en-US" w:eastAsia="zh-CN"/>
        </w:rPr>
        <w:t>Observation 2: Different EMC requirements should be applied for in-door and out-door case.</w:t>
      </w:r>
    </w:p>
    <w:p>
      <w:pPr>
        <w:pStyle w:val="3"/>
        <w:bidi w:val="0"/>
        <w:rPr>
          <w:rFonts w:hint="default"/>
          <w:lang w:val="en-US" w:eastAsia="zh-CN"/>
        </w:rPr>
      </w:pPr>
      <w:r>
        <w:rPr>
          <w:rFonts w:hint="eastAsia"/>
          <w:lang w:val="en-US" w:eastAsia="zh-CN"/>
        </w:rPr>
        <w:t>EMC test methods, performance criteria and set-ups</w:t>
      </w:r>
    </w:p>
    <w:p>
      <w:pPr>
        <w:numPr>
          <w:ilvl w:val="0"/>
          <w:numId w:val="0"/>
        </w:numPr>
        <w:bidi w:val="0"/>
        <w:ind w:leftChars="0"/>
        <w:jc w:val="left"/>
        <w:rPr>
          <w:rFonts w:hint="eastAsia"/>
          <w:sz w:val="21"/>
          <w:szCs w:val="22"/>
          <w:lang w:val="en-US" w:eastAsia="zh-CN"/>
        </w:rPr>
      </w:pPr>
      <w:r>
        <w:rPr>
          <w:rFonts w:hint="eastAsia"/>
          <w:sz w:val="21"/>
          <w:szCs w:val="22"/>
          <w:lang w:val="en-US" w:eastAsia="zh-CN"/>
        </w:rPr>
        <w:t xml:space="preserve">To avoid the receiver blocking when applying radiated immunity test, the receiver exclusion band has been defined for both UE in TS 38.124 and BS in TS 38.113. For UE the exclusion band is 85MHz for all bands while for base station, the exclusion band depends on operating band. Hence, when we apply the radiated immunity test for an IAB-node whose DU and MT share same enclosure which means current test methods cannot distinguish DU and MT during the test, the receiver exclusion band should be revisited. </w:t>
      </w:r>
    </w:p>
    <w:p>
      <w:pPr>
        <w:numPr>
          <w:ilvl w:val="0"/>
          <w:numId w:val="0"/>
        </w:numPr>
        <w:bidi w:val="0"/>
        <w:ind w:leftChars="0"/>
        <w:jc w:val="left"/>
        <w:rPr>
          <w:rFonts w:hint="default"/>
          <w:sz w:val="21"/>
          <w:szCs w:val="22"/>
          <w:lang w:val="en-US" w:eastAsia="zh-CN"/>
        </w:rPr>
      </w:pPr>
      <w:r>
        <w:rPr>
          <w:rFonts w:hint="eastAsia"/>
          <w:sz w:val="21"/>
          <w:szCs w:val="22"/>
          <w:lang w:val="en-US" w:eastAsia="zh-CN"/>
        </w:rPr>
        <w:t>Furthermore, the throughput is used to justify the performance of a communication link. If we want to observe the throughput of parent backhaul and child backhaul links simultaneously, the half-duplex constrain should be considered. In other words, for transient response, the performance criteria might need to be justified individually for two different links.</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val="0"/>
          <w:bCs w:val="0"/>
          <w:lang w:val="en-US" w:eastAsia="zh-CN"/>
        </w:rPr>
      </w:pPr>
      <w:r>
        <w:rPr>
          <w:rFonts w:hint="eastAsia"/>
          <w:b/>
          <w:bCs/>
          <w:lang w:val="en-US" w:eastAsia="zh-CN"/>
        </w:rPr>
        <w:t>Observation 3: Besides the requirements, EMC test methods and performance criteria also needs to be revisited.</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lang w:val="en-US" w:eastAsia="zh-CN"/>
        </w:rPr>
      </w:pPr>
      <w:r>
        <w:rPr>
          <w:rFonts w:hint="eastAsia"/>
          <w:b w:val="0"/>
          <w:bCs w:val="0"/>
          <w:lang w:val="en-US" w:eastAsia="zh-CN"/>
        </w:rPr>
        <w:t>Based on the analysis above, we can see that the EMC requirements, test methods, performance criteria all need some further study for an IAB node. It is difficult for us to add these lots of contents to current NR BS EMC spec TS 38.113. If we do so, it might also make the spec hard to read. Hence, we propose:</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lang w:val="en-US" w:eastAsia="zh-CN"/>
        </w:rPr>
      </w:pPr>
      <w:r>
        <w:rPr>
          <w:rFonts w:hint="eastAsia"/>
          <w:b/>
          <w:bCs/>
          <w:lang w:val="en-US" w:eastAsia="zh-CN"/>
        </w:rPr>
        <w:t>Proposal: To have a new TS for IAB EMC.</w:t>
      </w:r>
    </w:p>
    <w:p>
      <w:pPr>
        <w:bidi w:val="0"/>
        <w:rPr>
          <w:rFonts w:hint="eastAsia"/>
          <w:lang w:val="en-US" w:eastAsia="zh-CN"/>
        </w:rPr>
      </w:pP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give analysis of IAB EMC and the observations and proposals are:</w:t>
      </w:r>
    </w:p>
    <w:p>
      <w:pPr>
        <w:numPr>
          <w:ilvl w:val="0"/>
          <w:numId w:val="0"/>
        </w:numPr>
        <w:bidi w:val="0"/>
        <w:jc w:val="left"/>
        <w:rPr>
          <w:rFonts w:hint="eastAsia"/>
          <w:b/>
          <w:bCs/>
          <w:lang w:val="en-US" w:eastAsia="zh-CN"/>
        </w:rPr>
      </w:pPr>
      <w:bookmarkStart w:id="7" w:name="OLE_LINK1"/>
      <w:r>
        <w:rPr>
          <w:rFonts w:hint="eastAsia"/>
          <w:b/>
          <w:bCs/>
          <w:lang w:val="en-US" w:eastAsia="zh-CN"/>
        </w:rPr>
        <w:t>Observation 1: For EMC requirements defined on enclosure, further study is needed.</w:t>
      </w:r>
    </w:p>
    <w:p>
      <w:pPr>
        <w:numPr>
          <w:ilvl w:val="0"/>
          <w:numId w:val="0"/>
        </w:numPr>
        <w:bidi w:val="0"/>
        <w:jc w:val="left"/>
        <w:rPr>
          <w:rFonts w:hint="eastAsia"/>
          <w:b/>
          <w:bCs/>
          <w:lang w:val="en-US" w:eastAsia="zh-CN"/>
        </w:rPr>
      </w:pPr>
      <w:r>
        <w:rPr>
          <w:rFonts w:hint="eastAsia"/>
          <w:b/>
          <w:bCs/>
          <w:lang w:val="en-US" w:eastAsia="zh-CN"/>
        </w:rPr>
        <w:t>Observation 2: Different EMC requirements should be applied for in-door and out-door case.</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val="0"/>
          <w:bCs w:val="0"/>
          <w:lang w:val="en-US" w:eastAsia="zh-CN"/>
        </w:rPr>
      </w:pPr>
      <w:r>
        <w:rPr>
          <w:rFonts w:hint="eastAsia"/>
          <w:b/>
          <w:bCs/>
          <w:lang w:val="en-US" w:eastAsia="zh-CN"/>
        </w:rPr>
        <w:t>Observation 3: Besides the requirements, EMC test methods and performance criteria also needs to be revisited.</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bCs/>
          <w:lang w:val="en-US" w:eastAsia="zh-CN"/>
        </w:rPr>
      </w:pPr>
      <w:r>
        <w:rPr>
          <w:rFonts w:hint="eastAsia"/>
          <w:b/>
          <w:bCs/>
          <w:lang w:val="en-US" w:eastAsia="zh-CN"/>
        </w:rPr>
        <w:t>Proposal: To have a new TS for IAB EMC.</w:t>
      </w:r>
    </w:p>
    <w:bookmarkEnd w:id="7"/>
    <w:p>
      <w:pPr>
        <w:pStyle w:val="2"/>
        <w:numPr>
          <w:ilvl w:val="0"/>
          <w:numId w:val="0"/>
        </w:numPr>
        <w:tabs>
          <w:tab w:val="clear" w:pos="432"/>
        </w:tabs>
        <w:ind w:leftChars="0"/>
        <w:rPr>
          <w:rFonts w:cs="Arial"/>
          <w:lang w:eastAsia="zh-CN"/>
        </w:rPr>
      </w:pPr>
      <w:r>
        <w:rPr>
          <w:rFonts w:cs="Arial"/>
          <w:lang w:eastAsia="zh-CN"/>
        </w:rPr>
        <w:t>References</w:t>
      </w:r>
    </w:p>
    <w:p>
      <w:pPr>
        <w:pStyle w:val="93"/>
        <w:rPr>
          <w:rFonts w:hint="default"/>
          <w:lang w:val="en-US" w:eastAsia="zh-CN"/>
        </w:rPr>
      </w:pPr>
      <w:r>
        <w:rPr>
          <w:rFonts w:hint="eastAsia"/>
          <w:lang w:val="en-US" w:eastAsia="zh-CN"/>
        </w:rPr>
        <w:t xml:space="preserve">R4-1906730 RF architecture for IAB node, ZTE </w:t>
      </w:r>
    </w:p>
    <w:p>
      <w:pPr>
        <w:pStyle w:val="93"/>
        <w:rPr>
          <w:rFonts w:hint="default"/>
          <w:lang w:val="en-US" w:eastAsia="zh-CN"/>
        </w:rPr>
      </w:pPr>
      <w:r>
        <w:rPr>
          <w:rFonts w:hint="default"/>
          <w:lang w:val="en-US" w:eastAsia="zh-CN"/>
        </w:rPr>
        <w:fldChar w:fldCharType="begin"/>
      </w:r>
      <w:r>
        <w:rPr>
          <w:rFonts w:hint="default"/>
          <w:lang w:val="en-US" w:eastAsia="zh-CN"/>
        </w:rPr>
        <w:instrText xml:space="preserve"> HYPERLINK "..\\..\\Docs\\R4-1905539.zip" </w:instrText>
      </w:r>
      <w:r>
        <w:rPr>
          <w:rFonts w:hint="default"/>
          <w:lang w:val="en-US" w:eastAsia="zh-CN"/>
        </w:rPr>
        <w:fldChar w:fldCharType="separate"/>
      </w:r>
      <w:r>
        <w:rPr>
          <w:rFonts w:hint="default"/>
          <w:lang w:val="en-US" w:eastAsia="zh-CN"/>
        </w:rPr>
        <w:t>R4-1905539</w:t>
      </w:r>
      <w:r>
        <w:rPr>
          <w:rFonts w:hint="default"/>
          <w:lang w:val="en-US" w:eastAsia="zh-CN"/>
        </w:rPr>
        <w:fldChar w:fldCharType="end"/>
      </w:r>
      <w:r>
        <w:rPr>
          <w:rFonts w:hint="eastAsia"/>
          <w:lang w:val="en-US" w:eastAsia="zh-CN"/>
        </w:rPr>
        <w:t xml:space="preserve"> </w:t>
      </w:r>
      <w:r>
        <w:rPr>
          <w:rFonts w:hint="default"/>
          <w:lang w:val="en-US" w:eastAsia="zh-CN"/>
        </w:rPr>
        <w:t>on IAB EMC</w:t>
      </w:r>
      <w:r>
        <w:rPr>
          <w:rFonts w:hint="eastAsia"/>
          <w:lang w:val="en-US" w:eastAsia="zh-CN"/>
        </w:rPr>
        <w:t>, ZTE</w:t>
      </w:r>
    </w:p>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v4.2.0">
    <w:altName w:val="Times New Roman"/>
    <w:panose1 w:val="00000000000000000000"/>
    <w:charset w:val="00"/>
    <w:family w:val="auto"/>
    <w:pitch w:val="default"/>
    <w:sig w:usb0="00000000" w:usb1="00000000" w:usb2="00000000" w:usb3="00000000" w:csb0="00040001" w:csb1="00000000"/>
  </w:font>
  <w:font w:name="Arial">
    <w:panose1 w:val="020B0604020202020204"/>
    <w:charset w:val="00"/>
    <w:family w:val="roman"/>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6D31DE"/>
    <w:multiLevelType w:val="singleLevel"/>
    <w:tmpl w:val="306D31DE"/>
    <w:lvl w:ilvl="0" w:tentative="0">
      <w:start w:val="1"/>
      <w:numFmt w:val="decimal"/>
      <w:lvlText w:val="%1."/>
      <w:lvlJc w:val="left"/>
      <w:pPr>
        <w:ind w:left="425" w:hanging="425"/>
      </w:pPr>
      <w:rPr>
        <w:rFonts w:hint="default"/>
      </w:rPr>
    </w:lvl>
  </w:abstractNum>
  <w:abstractNum w:abstractNumId="1">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2">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3">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9150B28"/>
    <w:multiLevelType w:val="singleLevel"/>
    <w:tmpl w:val="59150B28"/>
    <w:lvl w:ilvl="0" w:tentative="0">
      <w:start w:val="1"/>
      <w:numFmt w:val="bullet"/>
      <w:lvlText w:val=""/>
      <w:lvlJc w:val="left"/>
      <w:pPr>
        <w:ind w:left="420" w:hanging="420"/>
      </w:pPr>
      <w:rPr>
        <w:rFonts w:hint="default" w:ascii="Wingdings" w:hAnsi="Wingdings"/>
      </w:rPr>
    </w:lvl>
  </w:abstractNum>
  <w:abstractNum w:abstractNumId="5">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7">
    <w:nsid w:val="78260F2B"/>
    <w:multiLevelType w:val="multilevel"/>
    <w:tmpl w:val="78260F2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
  </w:num>
  <w:num w:numId="3">
    <w:abstractNumId w:val="8"/>
  </w:num>
  <w:num w:numId="4">
    <w:abstractNumId w:val="2"/>
  </w:num>
  <w:num w:numId="5">
    <w:abstractNumId w:val="3"/>
  </w:num>
  <w:num w:numId="6">
    <w:abstractNumId w:val="5"/>
  </w:num>
  <w:num w:numId="7">
    <w:abstractNumId w:val="7"/>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9B"/>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A5498A"/>
    <w:rsid w:val="02C65454"/>
    <w:rsid w:val="031C4CB7"/>
    <w:rsid w:val="03AA77A6"/>
    <w:rsid w:val="03AE5ECC"/>
    <w:rsid w:val="041507FA"/>
    <w:rsid w:val="04763DB6"/>
    <w:rsid w:val="047C7717"/>
    <w:rsid w:val="05963C46"/>
    <w:rsid w:val="06185017"/>
    <w:rsid w:val="07194BEB"/>
    <w:rsid w:val="092F347C"/>
    <w:rsid w:val="094D0600"/>
    <w:rsid w:val="09501C01"/>
    <w:rsid w:val="0A2960EF"/>
    <w:rsid w:val="0AC11F2A"/>
    <w:rsid w:val="0B790392"/>
    <w:rsid w:val="0BE16E54"/>
    <w:rsid w:val="0C615DB7"/>
    <w:rsid w:val="0C90604D"/>
    <w:rsid w:val="0CBC21A6"/>
    <w:rsid w:val="0D30069E"/>
    <w:rsid w:val="0D885B5C"/>
    <w:rsid w:val="0D8A1C03"/>
    <w:rsid w:val="0DD84BA6"/>
    <w:rsid w:val="0E763984"/>
    <w:rsid w:val="0E990F3C"/>
    <w:rsid w:val="0EE8621E"/>
    <w:rsid w:val="0EF21CE0"/>
    <w:rsid w:val="0FBB53A3"/>
    <w:rsid w:val="0FC44BB0"/>
    <w:rsid w:val="10561550"/>
    <w:rsid w:val="108C25AB"/>
    <w:rsid w:val="11823C62"/>
    <w:rsid w:val="11CE6ABD"/>
    <w:rsid w:val="12116912"/>
    <w:rsid w:val="12E766F9"/>
    <w:rsid w:val="1354200B"/>
    <w:rsid w:val="13867FC8"/>
    <w:rsid w:val="139C0323"/>
    <w:rsid w:val="15B13CC5"/>
    <w:rsid w:val="15EA0565"/>
    <w:rsid w:val="166C0F69"/>
    <w:rsid w:val="169E6FF0"/>
    <w:rsid w:val="176F3E0E"/>
    <w:rsid w:val="18244A12"/>
    <w:rsid w:val="19553F68"/>
    <w:rsid w:val="19C0717F"/>
    <w:rsid w:val="19E510C0"/>
    <w:rsid w:val="1A670C75"/>
    <w:rsid w:val="1BB41235"/>
    <w:rsid w:val="1BDD4E03"/>
    <w:rsid w:val="1C3E5BEE"/>
    <w:rsid w:val="1CF339B8"/>
    <w:rsid w:val="1D000C57"/>
    <w:rsid w:val="1D9D6581"/>
    <w:rsid w:val="1E4067BA"/>
    <w:rsid w:val="1E9A2C7A"/>
    <w:rsid w:val="1F0870E3"/>
    <w:rsid w:val="1F4443F8"/>
    <w:rsid w:val="1F697F0E"/>
    <w:rsid w:val="1F825716"/>
    <w:rsid w:val="20484B28"/>
    <w:rsid w:val="205270E7"/>
    <w:rsid w:val="20B1597C"/>
    <w:rsid w:val="21107C64"/>
    <w:rsid w:val="21472AD0"/>
    <w:rsid w:val="21514190"/>
    <w:rsid w:val="21C109E9"/>
    <w:rsid w:val="21D67E69"/>
    <w:rsid w:val="225847F9"/>
    <w:rsid w:val="23597F29"/>
    <w:rsid w:val="24541EC9"/>
    <w:rsid w:val="2462145D"/>
    <w:rsid w:val="25BE15D6"/>
    <w:rsid w:val="25C77BF4"/>
    <w:rsid w:val="26472AAA"/>
    <w:rsid w:val="277059BF"/>
    <w:rsid w:val="27BA255A"/>
    <w:rsid w:val="288B0F82"/>
    <w:rsid w:val="28D226F4"/>
    <w:rsid w:val="28E63C49"/>
    <w:rsid w:val="29C43C65"/>
    <w:rsid w:val="29D25E5C"/>
    <w:rsid w:val="2A351867"/>
    <w:rsid w:val="2C100919"/>
    <w:rsid w:val="2C936C30"/>
    <w:rsid w:val="2CD613D2"/>
    <w:rsid w:val="2D1050B9"/>
    <w:rsid w:val="2D153347"/>
    <w:rsid w:val="2D295E98"/>
    <w:rsid w:val="2D2A1CF1"/>
    <w:rsid w:val="2DAF0FA0"/>
    <w:rsid w:val="2E0A65A8"/>
    <w:rsid w:val="2EF65C57"/>
    <w:rsid w:val="2F7808DB"/>
    <w:rsid w:val="301A7FA6"/>
    <w:rsid w:val="30885017"/>
    <w:rsid w:val="31C725D8"/>
    <w:rsid w:val="31E70315"/>
    <w:rsid w:val="32352858"/>
    <w:rsid w:val="33957597"/>
    <w:rsid w:val="339C289B"/>
    <w:rsid w:val="33AC3E9B"/>
    <w:rsid w:val="346B6A82"/>
    <w:rsid w:val="35CD640B"/>
    <w:rsid w:val="35DA3A34"/>
    <w:rsid w:val="377F030D"/>
    <w:rsid w:val="381708BF"/>
    <w:rsid w:val="388E4CAC"/>
    <w:rsid w:val="38B038AB"/>
    <w:rsid w:val="39BD0890"/>
    <w:rsid w:val="39EF3888"/>
    <w:rsid w:val="3A67012A"/>
    <w:rsid w:val="3B2A3952"/>
    <w:rsid w:val="3B625907"/>
    <w:rsid w:val="3C5017EE"/>
    <w:rsid w:val="3CAA1627"/>
    <w:rsid w:val="3D3210E1"/>
    <w:rsid w:val="3E2E3C0E"/>
    <w:rsid w:val="3E343CDE"/>
    <w:rsid w:val="3E3602D5"/>
    <w:rsid w:val="3EE436F8"/>
    <w:rsid w:val="40313E38"/>
    <w:rsid w:val="405209B8"/>
    <w:rsid w:val="40D040B2"/>
    <w:rsid w:val="40F21207"/>
    <w:rsid w:val="413977F1"/>
    <w:rsid w:val="414D70C7"/>
    <w:rsid w:val="415522FE"/>
    <w:rsid w:val="415B10EA"/>
    <w:rsid w:val="422431F5"/>
    <w:rsid w:val="42395B94"/>
    <w:rsid w:val="424B558A"/>
    <w:rsid w:val="426B0E00"/>
    <w:rsid w:val="426B32ED"/>
    <w:rsid w:val="42AE4A66"/>
    <w:rsid w:val="42EE355E"/>
    <w:rsid w:val="43F45753"/>
    <w:rsid w:val="44204329"/>
    <w:rsid w:val="44FD35A1"/>
    <w:rsid w:val="451A2E72"/>
    <w:rsid w:val="457D67B8"/>
    <w:rsid w:val="45D61D1B"/>
    <w:rsid w:val="465B1E95"/>
    <w:rsid w:val="467823B0"/>
    <w:rsid w:val="46ED68DD"/>
    <w:rsid w:val="482B3AD8"/>
    <w:rsid w:val="48866A0F"/>
    <w:rsid w:val="4A015527"/>
    <w:rsid w:val="4A581A46"/>
    <w:rsid w:val="4B112B71"/>
    <w:rsid w:val="4BA52676"/>
    <w:rsid w:val="4C6B12AB"/>
    <w:rsid w:val="4CBE1380"/>
    <w:rsid w:val="4D8D0EED"/>
    <w:rsid w:val="4E0B7835"/>
    <w:rsid w:val="4E6374A0"/>
    <w:rsid w:val="4EDC2D82"/>
    <w:rsid w:val="4F484719"/>
    <w:rsid w:val="4FE64F78"/>
    <w:rsid w:val="50101CBA"/>
    <w:rsid w:val="50502B31"/>
    <w:rsid w:val="51B3156D"/>
    <w:rsid w:val="523364F3"/>
    <w:rsid w:val="52452974"/>
    <w:rsid w:val="52A4335A"/>
    <w:rsid w:val="52B64652"/>
    <w:rsid w:val="5486461F"/>
    <w:rsid w:val="54966634"/>
    <w:rsid w:val="569C053A"/>
    <w:rsid w:val="571479C7"/>
    <w:rsid w:val="58BA16F6"/>
    <w:rsid w:val="5A1C2F07"/>
    <w:rsid w:val="5AA73CA5"/>
    <w:rsid w:val="5B472825"/>
    <w:rsid w:val="5B9B36BD"/>
    <w:rsid w:val="5C844C0E"/>
    <w:rsid w:val="5D5A5641"/>
    <w:rsid w:val="5D5E4B33"/>
    <w:rsid w:val="5DD85B0C"/>
    <w:rsid w:val="5E720882"/>
    <w:rsid w:val="5E8C6849"/>
    <w:rsid w:val="5FBE7D86"/>
    <w:rsid w:val="606D729C"/>
    <w:rsid w:val="6120442E"/>
    <w:rsid w:val="61392C49"/>
    <w:rsid w:val="61551C69"/>
    <w:rsid w:val="61E91DC1"/>
    <w:rsid w:val="61EB6DF6"/>
    <w:rsid w:val="626863C4"/>
    <w:rsid w:val="628B20F9"/>
    <w:rsid w:val="63D32CF9"/>
    <w:rsid w:val="65990434"/>
    <w:rsid w:val="65ED19B5"/>
    <w:rsid w:val="66593A9F"/>
    <w:rsid w:val="672762CB"/>
    <w:rsid w:val="675D0F52"/>
    <w:rsid w:val="676B0BDC"/>
    <w:rsid w:val="67A84266"/>
    <w:rsid w:val="68FE10CA"/>
    <w:rsid w:val="69954D46"/>
    <w:rsid w:val="6A650E24"/>
    <w:rsid w:val="6AB03EB3"/>
    <w:rsid w:val="6BE1413E"/>
    <w:rsid w:val="6C560643"/>
    <w:rsid w:val="6C5C4755"/>
    <w:rsid w:val="6CC47F20"/>
    <w:rsid w:val="6D250CAB"/>
    <w:rsid w:val="6D6A226E"/>
    <w:rsid w:val="6D6E35B0"/>
    <w:rsid w:val="6D9E564E"/>
    <w:rsid w:val="6DD30080"/>
    <w:rsid w:val="6E647BAA"/>
    <w:rsid w:val="6E6C55F9"/>
    <w:rsid w:val="6E73050D"/>
    <w:rsid w:val="6ED8743F"/>
    <w:rsid w:val="6EF256F6"/>
    <w:rsid w:val="6F166551"/>
    <w:rsid w:val="6F7A5B80"/>
    <w:rsid w:val="6FFF6212"/>
    <w:rsid w:val="70994298"/>
    <w:rsid w:val="70A779CE"/>
    <w:rsid w:val="71E56F25"/>
    <w:rsid w:val="729F318F"/>
    <w:rsid w:val="73653AD9"/>
    <w:rsid w:val="75123154"/>
    <w:rsid w:val="752B36B1"/>
    <w:rsid w:val="75D44E15"/>
    <w:rsid w:val="7616433B"/>
    <w:rsid w:val="77BD025C"/>
    <w:rsid w:val="780B13D6"/>
    <w:rsid w:val="79027DCE"/>
    <w:rsid w:val="792A63C1"/>
    <w:rsid w:val="79711E7A"/>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 w:type="paragraph" w:customStyle="1" w:styleId="129">
    <w:name w:val="Equation"/>
    <w:basedOn w:val="1"/>
    <w:qFormat/>
    <w:uiPriority w:val="0"/>
    <w:pPr>
      <w:tabs>
        <w:tab w:val="left" w:pos="1134"/>
        <w:tab w:val="center" w:pos="4820"/>
        <w:tab w:val="right" w:pos="9639"/>
      </w:tabs>
    </w:pPr>
  </w:style>
  <w:style w:type="paragraph" w:customStyle="1" w:styleId="130">
    <w:name w:val="Equation_Legend"/>
    <w:basedOn w:val="1"/>
    <w:qFormat/>
    <w:uiPriority w:val="0"/>
    <w:pPr>
      <w:tabs>
        <w:tab w:val="right" w:pos="1531"/>
        <w:tab w:val="left" w:pos="1701"/>
      </w:tabs>
      <w:spacing w:before="86"/>
      <w:ind w:left="1701" w:hanging="1701"/>
      <w:textAlignment w:val="auto"/>
    </w:pPr>
    <w:rPr>
      <w:rFonts w:eastAsia="Batang"/>
      <w:lang w:eastAsia="fr-FR"/>
    </w:rPr>
  </w:style>
  <w:style w:type="paragraph" w:styleId="131">
    <w:name w:val="List Paragraph"/>
    <w:basedOn w:val="1"/>
    <w:qFormat/>
    <w:uiPriority w:val="34"/>
    <w:pPr>
      <w:ind w:left="7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18</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 Zhou ZTE</cp:lastModifiedBy>
  <cp:lastPrinted>2015-01-14T18:53:00Z</cp:lastPrinted>
  <dcterms:modified xsi:type="dcterms:W3CDTF">2019-08-16T09:20:26Z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